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8BACB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EA2FC39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6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Stan na dzień sporządzenia prospektu informacyjnego tj. 13.05.2025 r. </w:t>
      </w:r>
    </w:p>
    <w:p w14:paraId="7DB307EC" w14:textId="77777777" w:rsidR="003B3790" w:rsidRDefault="003B3790">
      <w:pPr>
        <w:spacing w:before="91"/>
        <w:rPr>
          <w:i/>
          <w:iCs/>
          <w:sz w:val="20"/>
          <w:szCs w:val="20"/>
        </w:rPr>
      </w:pPr>
    </w:p>
    <w:p w14:paraId="5843D441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0"/>
          <w:szCs w:val="20"/>
        </w:rPr>
      </w:pPr>
    </w:p>
    <w:p w14:paraId="3D32B4A1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iCs/>
          <w:color w:val="000000"/>
          <w:sz w:val="25"/>
          <w:szCs w:val="25"/>
        </w:rPr>
      </w:pPr>
    </w:p>
    <w:p w14:paraId="5D48575C" w14:textId="77777777" w:rsidR="003B3790" w:rsidRDefault="00A401C9">
      <w:pPr>
        <w:spacing w:before="91"/>
        <w:ind w:right="28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PROSPEKT INFORMACYJNY</w:t>
      </w:r>
    </w:p>
    <w:p w14:paraId="3B4C3A37" w14:textId="77777777" w:rsidR="003B3790" w:rsidRDefault="00A401C9">
      <w:pPr>
        <w:tabs>
          <w:tab w:val="left" w:pos="2835"/>
        </w:tabs>
        <w:spacing w:before="91"/>
        <w:ind w:right="28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INWESTYCJI  „DUDY - GRACZA 2”</w:t>
      </w:r>
    </w:p>
    <w:p w14:paraId="766228FE" w14:textId="77777777" w:rsidR="003B3790" w:rsidRDefault="003B3790">
      <w:pPr>
        <w:tabs>
          <w:tab w:val="left" w:pos="2835"/>
        </w:tabs>
        <w:spacing w:before="91"/>
        <w:ind w:right="287"/>
        <w:jc w:val="center"/>
        <w:rPr>
          <w:b/>
          <w:bCs/>
          <w:sz w:val="28"/>
          <w:szCs w:val="28"/>
        </w:rPr>
      </w:pPr>
    </w:p>
    <w:p w14:paraId="2ECB9063" w14:textId="77777777" w:rsidR="003B3790" w:rsidRDefault="00A401C9">
      <w:pPr>
        <w:tabs>
          <w:tab w:val="left" w:pos="2835"/>
        </w:tabs>
        <w:ind w:right="289"/>
        <w:jc w:val="center"/>
        <w:rPr>
          <w:sz w:val="28"/>
          <w:szCs w:val="28"/>
        </w:rPr>
      </w:pPr>
      <w:r>
        <w:rPr>
          <w:sz w:val="28"/>
          <w:szCs w:val="28"/>
        </w:rPr>
        <w:t>UL. WARSZAWSKA 66 / UL. DUDY – GRACZA 2 W KATOWICACH</w:t>
      </w:r>
    </w:p>
    <w:p w14:paraId="526EE009" w14:textId="77777777" w:rsidR="003B3790" w:rsidRDefault="003B3790">
      <w:pPr>
        <w:tabs>
          <w:tab w:val="left" w:pos="2835"/>
        </w:tabs>
        <w:ind w:right="289"/>
        <w:jc w:val="center"/>
        <w:rPr>
          <w:sz w:val="28"/>
          <w:szCs w:val="28"/>
        </w:rPr>
      </w:pPr>
    </w:p>
    <w:p w14:paraId="02958A59" w14:textId="77777777" w:rsidR="003B3790" w:rsidRDefault="00A401C9">
      <w:pPr>
        <w:tabs>
          <w:tab w:val="left" w:pos="2835"/>
        </w:tabs>
        <w:ind w:right="28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NA DZIAŁCE NR EW.102., OBRĘB 0002, KARTA MAPY 41 </w:t>
      </w:r>
    </w:p>
    <w:p w14:paraId="3DE919FA" w14:textId="77777777" w:rsidR="003B3790" w:rsidRDefault="00A401C9">
      <w:pPr>
        <w:tabs>
          <w:tab w:val="left" w:pos="2835"/>
        </w:tabs>
        <w:ind w:right="289"/>
        <w:jc w:val="center"/>
        <w:rPr>
          <w:sz w:val="28"/>
          <w:szCs w:val="28"/>
        </w:rPr>
      </w:pPr>
      <w:r>
        <w:rPr>
          <w:sz w:val="28"/>
          <w:szCs w:val="28"/>
        </w:rPr>
        <w:t>DZIELNICA BOGUCICE -ZAWODZIE</w:t>
      </w:r>
    </w:p>
    <w:p w14:paraId="329654A7" w14:textId="77777777" w:rsidR="003B3790" w:rsidRDefault="003B3790">
      <w:pPr>
        <w:tabs>
          <w:tab w:val="left" w:pos="2835"/>
        </w:tabs>
        <w:ind w:right="289"/>
        <w:jc w:val="center"/>
        <w:rPr>
          <w:sz w:val="28"/>
          <w:szCs w:val="28"/>
        </w:rPr>
      </w:pPr>
    </w:p>
    <w:p w14:paraId="4C3A6A6D" w14:textId="77777777" w:rsidR="003B3790" w:rsidRDefault="00A401C9">
      <w:pPr>
        <w:tabs>
          <w:tab w:val="left" w:pos="2835"/>
        </w:tabs>
        <w:ind w:right="28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WILCZYŃSKI SPÓŁKA Z OGRANICZONĄ ODPOWIEDZIALNOŚCIĄ </w:t>
      </w:r>
    </w:p>
    <w:p w14:paraId="7811B6AE" w14:textId="77777777" w:rsidR="003B3790" w:rsidRDefault="003B3790">
      <w:pPr>
        <w:tabs>
          <w:tab w:val="left" w:pos="2835"/>
        </w:tabs>
        <w:spacing w:before="91"/>
        <w:ind w:right="287"/>
        <w:jc w:val="center"/>
        <w:rPr>
          <w:b/>
          <w:bCs/>
          <w:sz w:val="28"/>
          <w:szCs w:val="28"/>
        </w:rPr>
      </w:pPr>
    </w:p>
    <w:p w14:paraId="5A9A1E4E" w14:textId="77777777" w:rsidR="003B3790" w:rsidRDefault="003B3790">
      <w:pPr>
        <w:tabs>
          <w:tab w:val="left" w:pos="2835"/>
        </w:tabs>
        <w:spacing w:before="91"/>
        <w:ind w:right="287"/>
        <w:jc w:val="center"/>
        <w:rPr>
          <w:b/>
          <w:bCs/>
          <w:sz w:val="28"/>
          <w:szCs w:val="28"/>
        </w:rPr>
      </w:pPr>
    </w:p>
    <w:p w14:paraId="65898228" w14:textId="77777777" w:rsidR="003B3790" w:rsidRDefault="003B3790">
      <w:pPr>
        <w:tabs>
          <w:tab w:val="left" w:pos="2835"/>
        </w:tabs>
        <w:spacing w:before="91"/>
        <w:ind w:right="287"/>
        <w:jc w:val="center"/>
        <w:rPr>
          <w:b/>
          <w:bCs/>
          <w:sz w:val="28"/>
          <w:szCs w:val="28"/>
        </w:rPr>
      </w:pPr>
    </w:p>
    <w:p w14:paraId="675320FB" w14:textId="77777777" w:rsidR="003B3790" w:rsidRDefault="00A401C9">
      <w:pPr>
        <w:tabs>
          <w:tab w:val="left" w:pos="2835"/>
        </w:tabs>
        <w:spacing w:before="91"/>
        <w:ind w:right="287"/>
        <w:rPr>
          <w:b/>
          <w:bCs/>
          <w:sz w:val="28"/>
          <w:szCs w:val="28"/>
        </w:rPr>
      </w:pPr>
      <w:r>
        <w:rPr>
          <w:noProof/>
          <w:lang w:val="pl-PL"/>
        </w:rPr>
        <w:drawing>
          <wp:inline distT="0" distB="0" distL="0" distR="0" wp14:anchorId="0DC764A0" wp14:editId="356C18E8">
            <wp:extent cx="6483350" cy="4140700"/>
            <wp:effectExtent l="0" t="0" r="0" b="0"/>
            <wp:docPr id="1964583246" name="image1.jpg" descr="Obraz zawierający na wolnym powietrzu, budynek, niebo, drog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raz zawierający na wolnym powietrzu, budynek, niebo, droga&#10;&#10;Opis wygenerowany automatyczni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414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251EF6" w14:textId="77777777" w:rsidR="003B3790" w:rsidRDefault="003B3790">
      <w:pPr>
        <w:spacing w:before="145"/>
        <w:ind w:left="220"/>
        <w:rPr>
          <w:b/>
          <w:bCs/>
          <w:sz w:val="20"/>
          <w:szCs w:val="20"/>
        </w:rPr>
      </w:pPr>
    </w:p>
    <w:p w14:paraId="5A21C524" w14:textId="77777777" w:rsidR="003B3790" w:rsidRDefault="003B3790">
      <w:pPr>
        <w:spacing w:before="145"/>
        <w:ind w:left="220"/>
        <w:rPr>
          <w:b/>
          <w:bCs/>
          <w:sz w:val="20"/>
          <w:szCs w:val="20"/>
        </w:rPr>
      </w:pPr>
    </w:p>
    <w:p w14:paraId="5C94E6FE" w14:textId="77777777" w:rsidR="003B3790" w:rsidRDefault="003B3790">
      <w:pPr>
        <w:spacing w:before="145"/>
        <w:ind w:left="220"/>
        <w:rPr>
          <w:b/>
          <w:bCs/>
          <w:sz w:val="20"/>
          <w:szCs w:val="20"/>
        </w:rPr>
      </w:pPr>
    </w:p>
    <w:p w14:paraId="576E9436" w14:textId="77777777" w:rsidR="003B3790" w:rsidRDefault="003B3790">
      <w:pPr>
        <w:spacing w:before="145"/>
        <w:ind w:left="220"/>
        <w:rPr>
          <w:b/>
          <w:bCs/>
          <w:sz w:val="20"/>
          <w:szCs w:val="20"/>
        </w:rPr>
      </w:pPr>
    </w:p>
    <w:p w14:paraId="4838B1B6" w14:textId="77777777" w:rsidR="003B3790" w:rsidRDefault="003B3790">
      <w:pPr>
        <w:spacing w:before="145"/>
        <w:ind w:left="220"/>
        <w:rPr>
          <w:b/>
          <w:bCs/>
          <w:sz w:val="20"/>
          <w:szCs w:val="20"/>
        </w:rPr>
      </w:pPr>
    </w:p>
    <w:p w14:paraId="420661A4" w14:textId="77777777" w:rsidR="003B3790" w:rsidRDefault="003B3790">
      <w:pPr>
        <w:spacing w:before="145"/>
        <w:ind w:left="220"/>
        <w:rPr>
          <w:b/>
          <w:bCs/>
          <w:sz w:val="20"/>
          <w:szCs w:val="20"/>
        </w:rPr>
      </w:pPr>
    </w:p>
    <w:p w14:paraId="09DCB835" w14:textId="77777777" w:rsidR="003B3790" w:rsidRDefault="003B3790">
      <w:pPr>
        <w:spacing w:before="145"/>
        <w:rPr>
          <w:b/>
          <w:bCs/>
          <w:sz w:val="20"/>
          <w:szCs w:val="20"/>
        </w:rPr>
      </w:pPr>
    </w:p>
    <w:p w14:paraId="739384BF" w14:textId="77777777" w:rsidR="003B3790" w:rsidRDefault="00A401C9">
      <w:pPr>
        <w:spacing w:before="145"/>
        <w:ind w:left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CZĘŚĆ OGÓLNA</w:t>
      </w:r>
    </w:p>
    <w:p w14:paraId="7D5875C4" w14:textId="77777777" w:rsidR="003B3790" w:rsidRDefault="003B3790">
      <w:pPr>
        <w:spacing w:before="145"/>
        <w:ind w:left="220"/>
        <w:rPr>
          <w:b/>
          <w:bCs/>
          <w:sz w:val="20"/>
          <w:szCs w:val="20"/>
        </w:rPr>
      </w:pPr>
    </w:p>
    <w:p w14:paraId="45AACD13" w14:textId="77777777" w:rsidR="003B3790" w:rsidRDefault="00A401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spacing w:before="161"/>
        <w:ind w:hanging="72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DANE IDENTYFIKACYJNE I KONTAKTOWE DOTYCZĄCE DEWELOPERA</w:t>
      </w:r>
    </w:p>
    <w:p w14:paraId="448A28E5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4"/>
          <w:szCs w:val="14"/>
        </w:rPr>
      </w:pPr>
    </w:p>
    <w:tbl>
      <w:tblPr>
        <w:tblStyle w:val="a"/>
        <w:tblW w:w="9601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4"/>
        <w:gridCol w:w="3223"/>
        <w:gridCol w:w="3404"/>
      </w:tblGrid>
      <w:tr w:rsidR="003B3790" w14:paraId="22EA7336" w14:textId="77777777">
        <w:trPr>
          <w:trHeight w:val="906"/>
        </w:trPr>
        <w:tc>
          <w:tcPr>
            <w:tcW w:w="9601" w:type="dxa"/>
            <w:gridSpan w:val="3"/>
            <w:shd w:val="clear" w:color="auto" w:fill="DFDFDF"/>
          </w:tcPr>
          <w:p w14:paraId="034FAE9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DANE DEWELOPERA</w:t>
            </w:r>
          </w:p>
        </w:tc>
      </w:tr>
      <w:tr w:rsidR="003B3790" w14:paraId="2D3A62AA" w14:textId="77777777">
        <w:trPr>
          <w:trHeight w:val="992"/>
        </w:trPr>
        <w:tc>
          <w:tcPr>
            <w:tcW w:w="2974" w:type="dxa"/>
            <w:shd w:val="clear" w:color="auto" w:fill="F3F3F3"/>
          </w:tcPr>
          <w:p w14:paraId="17529E9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Deweloper</w:t>
            </w:r>
          </w:p>
        </w:tc>
        <w:tc>
          <w:tcPr>
            <w:tcW w:w="6627" w:type="dxa"/>
            <w:gridSpan w:val="2"/>
          </w:tcPr>
          <w:p w14:paraId="579B95C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WILCZYŃSKI</w:t>
            </w:r>
          </w:p>
          <w:p w14:paraId="06CE85C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SPÓŁKA Z OGRANICZONĄ  ODPOWIEDZIALNOŚCIĄ </w:t>
            </w:r>
          </w:p>
          <w:p w14:paraId="3BEE245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SIEDZIBĄ W WARSZAWIE</w:t>
            </w:r>
          </w:p>
          <w:p w14:paraId="39F5E92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KRS 0000892476</w:t>
            </w:r>
          </w:p>
          <w:p w14:paraId="29FEC0E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3B3790" w14:paraId="478344A8" w14:textId="77777777">
        <w:trPr>
          <w:trHeight w:val="713"/>
        </w:trPr>
        <w:tc>
          <w:tcPr>
            <w:tcW w:w="2974" w:type="dxa"/>
            <w:shd w:val="clear" w:color="auto" w:fill="F3F3F3"/>
          </w:tcPr>
          <w:p w14:paraId="33E7CEF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627" w:type="dxa"/>
            <w:gridSpan w:val="2"/>
          </w:tcPr>
          <w:p w14:paraId="5EFB2D2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  <w:p w14:paraId="64FFE1B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ul. Syta 68, 02-993 Warszawa</w:t>
            </w:r>
          </w:p>
        </w:tc>
      </w:tr>
      <w:tr w:rsidR="003B3790" w14:paraId="0FBD9C69" w14:textId="77777777">
        <w:trPr>
          <w:trHeight w:val="525"/>
        </w:trPr>
        <w:tc>
          <w:tcPr>
            <w:tcW w:w="2974" w:type="dxa"/>
            <w:shd w:val="clear" w:color="auto" w:fill="F3F3F3"/>
          </w:tcPr>
          <w:p w14:paraId="11EDC1B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Numer NIP i REGON</w:t>
            </w:r>
          </w:p>
        </w:tc>
        <w:tc>
          <w:tcPr>
            <w:tcW w:w="3223" w:type="dxa"/>
          </w:tcPr>
          <w:p w14:paraId="692C62E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NIP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5242765430</w:t>
            </w:r>
          </w:p>
        </w:tc>
        <w:tc>
          <w:tcPr>
            <w:tcW w:w="3404" w:type="dxa"/>
          </w:tcPr>
          <w:p w14:paraId="66DB8D0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REGON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14703824700000</w:t>
            </w:r>
          </w:p>
        </w:tc>
      </w:tr>
      <w:tr w:rsidR="003B3790" w14:paraId="0430AA93" w14:textId="77777777">
        <w:trPr>
          <w:trHeight w:val="525"/>
        </w:trPr>
        <w:tc>
          <w:tcPr>
            <w:tcW w:w="2974" w:type="dxa"/>
            <w:shd w:val="clear" w:color="auto" w:fill="F3F3F3"/>
          </w:tcPr>
          <w:p w14:paraId="7826265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Numer telefonu</w:t>
            </w:r>
          </w:p>
        </w:tc>
        <w:tc>
          <w:tcPr>
            <w:tcW w:w="6627" w:type="dxa"/>
            <w:gridSpan w:val="2"/>
          </w:tcPr>
          <w:p w14:paraId="6A9981F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1E1AC62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+ 48 501 406 677</w:t>
            </w:r>
          </w:p>
        </w:tc>
      </w:tr>
      <w:tr w:rsidR="003B3790" w14:paraId="32D0183B" w14:textId="77777777">
        <w:trPr>
          <w:trHeight w:val="525"/>
        </w:trPr>
        <w:tc>
          <w:tcPr>
            <w:tcW w:w="2974" w:type="dxa"/>
            <w:shd w:val="clear" w:color="auto" w:fill="F3F3F3"/>
          </w:tcPr>
          <w:p w14:paraId="5A0C8C2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Adres poczty elektronicznej</w:t>
            </w:r>
          </w:p>
        </w:tc>
        <w:tc>
          <w:tcPr>
            <w:tcW w:w="6627" w:type="dxa"/>
            <w:gridSpan w:val="2"/>
          </w:tcPr>
          <w:p w14:paraId="2E69FB0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MAREK@WILPOL.COM.PL</w:t>
            </w:r>
          </w:p>
        </w:tc>
      </w:tr>
      <w:tr w:rsidR="003B3790" w14:paraId="1A0C1E4C" w14:textId="77777777">
        <w:trPr>
          <w:trHeight w:val="524"/>
        </w:trPr>
        <w:tc>
          <w:tcPr>
            <w:tcW w:w="2974" w:type="dxa"/>
            <w:shd w:val="clear" w:color="auto" w:fill="F3F3F3"/>
          </w:tcPr>
          <w:p w14:paraId="743E5D5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Numer faksu</w:t>
            </w:r>
          </w:p>
        </w:tc>
        <w:tc>
          <w:tcPr>
            <w:tcW w:w="6627" w:type="dxa"/>
            <w:gridSpan w:val="2"/>
          </w:tcPr>
          <w:p w14:paraId="179068A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brak</w:t>
            </w:r>
          </w:p>
        </w:tc>
      </w:tr>
      <w:tr w:rsidR="003B3790" w14:paraId="2FCF94E4" w14:textId="77777777">
        <w:trPr>
          <w:trHeight w:val="759"/>
        </w:trPr>
        <w:tc>
          <w:tcPr>
            <w:tcW w:w="2974" w:type="dxa"/>
            <w:shd w:val="clear" w:color="auto" w:fill="F3F3F3"/>
          </w:tcPr>
          <w:p w14:paraId="5DF3099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Adres strony internetowej dewelopera</w:t>
            </w:r>
          </w:p>
        </w:tc>
        <w:tc>
          <w:tcPr>
            <w:tcW w:w="6627" w:type="dxa"/>
            <w:gridSpan w:val="2"/>
          </w:tcPr>
          <w:p w14:paraId="4FC41111" w14:textId="77777777" w:rsidR="003B3790" w:rsidRDefault="0079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hyperlink r:id="rId10">
              <w:r w:rsidR="00A401C9">
                <w:rPr>
                  <w:b/>
                  <w:bCs/>
                  <w:color w:val="0000FF"/>
                  <w:sz w:val="20"/>
                  <w:szCs w:val="20"/>
                  <w:u w:val="single"/>
                </w:rPr>
                <w:t>www.dudygracza.pl</w:t>
              </w:r>
            </w:hyperlink>
            <w:r w:rsidR="00A401C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98FAEE4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28354648" w14:textId="77777777" w:rsidR="003B3790" w:rsidRDefault="00A401C9">
      <w:pPr>
        <w:rPr>
          <w:b/>
          <w:bCs/>
          <w:sz w:val="28"/>
          <w:szCs w:val="28"/>
        </w:rPr>
      </w:pPr>
      <w:r>
        <w:br w:type="page"/>
      </w:r>
    </w:p>
    <w:p w14:paraId="1ED60FC0" w14:textId="77777777" w:rsidR="003B3790" w:rsidRDefault="00A401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ind w:hanging="72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DOŚWIADCZENIE DEWELOPERA</w:t>
      </w:r>
    </w:p>
    <w:p w14:paraId="1526F931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13"/>
          <w:szCs w:val="13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F043A66" wp14:editId="304124C9">
                <wp:simplePos x="0" y="0"/>
                <wp:positionH relativeFrom="column">
                  <wp:posOffset>203517</wp:posOffset>
                </wp:positionH>
                <wp:positionV relativeFrom="paragraph">
                  <wp:posOffset>115252</wp:posOffset>
                </wp:positionV>
                <wp:extent cx="6137275" cy="352425"/>
                <wp:effectExtent l="0" t="0" r="0" b="0"/>
                <wp:wrapTopAndBottom distT="0" distB="0"/>
                <wp:docPr id="1964583234" name="Prostokąt 1964583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2125" y="3608550"/>
                          <a:ext cx="6127750" cy="3429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815FE1" w14:textId="77777777" w:rsidR="009B1385" w:rsidRDefault="009B1385">
                            <w:pPr>
                              <w:spacing w:before="143"/>
                              <w:ind w:left="103" w:firstLine="10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HISTORIA I UDOKUMENTOWANE DOŚWIADCZENIE DEWELOPERA</w:t>
                            </w:r>
                          </w:p>
                          <w:p w14:paraId="7B47FB19" w14:textId="77777777" w:rsidR="009B1385" w:rsidRDefault="009B1385">
                            <w:pPr>
                              <w:spacing w:before="143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964583234" o:spid="_x0000_s1026" style="position:absolute;margin-left:16pt;margin-top:9.05pt;width:483.25pt;height:27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" fillcolor="#dfdfdf">
                <v:stroke startarrowwidth="narrow" startarrowlength="short" endarrowwidth="narrow" endarrowlength="short"/>
                <v:textbox inset="0,0,0,0">
                  <w:txbxContent>
                    <w:p w14:paraId="21815FE1" w14:textId="77777777" w:rsidR="009B1385" w:rsidRDefault="009B1385">
                      <w:pPr>
                        <w:spacing w:before="143"/>
                        <w:ind w:left="103" w:firstLine="103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HISTORIA I UDOKUMENTOWANE DOŚWIADCZENIE DEWELOPERA</w:t>
                      </w:r>
                    </w:p>
                    <w:p w14:paraId="7B47FB19" w14:textId="77777777" w:rsidR="009B1385" w:rsidRDefault="009B1385">
                      <w:pPr>
                        <w:spacing w:before="143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Style w:val="a0"/>
        <w:tblW w:w="965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4"/>
        <w:gridCol w:w="6841"/>
      </w:tblGrid>
      <w:tr w:rsidR="003B3790" w14:paraId="14A66780" w14:textId="77777777">
        <w:trPr>
          <w:trHeight w:val="748"/>
        </w:trPr>
        <w:tc>
          <w:tcPr>
            <w:tcW w:w="9655" w:type="dxa"/>
            <w:gridSpan w:val="2"/>
            <w:shd w:val="clear" w:color="auto" w:fill="DFDFDF"/>
          </w:tcPr>
          <w:p w14:paraId="1332885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PRZYKŁAD UKOŃCZONEGO PRZEDSIĘWZIĘCIA DEWELOPERSKIEGO </w:t>
            </w:r>
          </w:p>
        </w:tc>
      </w:tr>
      <w:tr w:rsidR="003B3790" w14:paraId="1D180AE3" w14:textId="77777777">
        <w:trPr>
          <w:trHeight w:val="748"/>
        </w:trPr>
        <w:tc>
          <w:tcPr>
            <w:tcW w:w="9655" w:type="dxa"/>
            <w:gridSpan w:val="2"/>
            <w:shd w:val="clear" w:color="auto" w:fill="DFDFDF"/>
          </w:tcPr>
          <w:p w14:paraId="4EDD5BD0" w14:textId="77777777" w:rsidR="003B3790" w:rsidRDefault="00A401C9">
            <w:pPr>
              <w:spacing w:before="142"/>
              <w:ind w:left="10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drawing>
                <wp:inline distT="0" distB="0" distL="0" distR="0" wp14:anchorId="4E2D02AB" wp14:editId="2FCC372F">
                  <wp:extent cx="5437154" cy="3602199"/>
                  <wp:effectExtent l="0" t="0" r="0" b="0"/>
                  <wp:docPr id="196458324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54" cy="36021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7BB714A1" w14:textId="77777777">
        <w:trPr>
          <w:trHeight w:val="748"/>
        </w:trPr>
        <w:tc>
          <w:tcPr>
            <w:tcW w:w="9655" w:type="dxa"/>
            <w:gridSpan w:val="2"/>
            <w:shd w:val="clear" w:color="auto" w:fill="DFDFDF"/>
          </w:tcPr>
          <w:p w14:paraId="3E667584" w14:textId="77777777" w:rsidR="003B3790" w:rsidRDefault="00A401C9">
            <w:pP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drawing>
                <wp:inline distT="0" distB="0" distL="0" distR="0" wp14:anchorId="486DD07A" wp14:editId="37E3C052">
                  <wp:extent cx="6118860" cy="4061460"/>
                  <wp:effectExtent l="0" t="0" r="0" b="0"/>
                  <wp:docPr id="196458324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860" cy="406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15EC2B1E" w14:textId="77777777">
        <w:trPr>
          <w:trHeight w:val="517"/>
        </w:trPr>
        <w:tc>
          <w:tcPr>
            <w:tcW w:w="2814" w:type="dxa"/>
            <w:shd w:val="clear" w:color="auto" w:fill="F3F3F3"/>
          </w:tcPr>
          <w:p w14:paraId="399F4FD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841" w:type="dxa"/>
          </w:tcPr>
          <w:p w14:paraId="2FC7900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ul. Bruzdowa </w:t>
            </w:r>
            <w:r>
              <w:rPr>
                <w:sz w:val="20"/>
                <w:szCs w:val="20"/>
              </w:rPr>
              <w:t>81</w:t>
            </w:r>
            <w:r>
              <w:rPr>
                <w:color w:val="000000"/>
                <w:sz w:val="20"/>
                <w:szCs w:val="20"/>
              </w:rPr>
              <w:t>, Warszawa</w:t>
            </w:r>
          </w:p>
        </w:tc>
      </w:tr>
      <w:tr w:rsidR="003B3790" w14:paraId="0CC05840" w14:textId="77777777">
        <w:trPr>
          <w:trHeight w:val="518"/>
        </w:trPr>
        <w:tc>
          <w:tcPr>
            <w:tcW w:w="2814" w:type="dxa"/>
            <w:shd w:val="clear" w:color="auto" w:fill="F3F3F3"/>
          </w:tcPr>
          <w:p w14:paraId="203ECC9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Data rozpoczęcia</w:t>
            </w:r>
          </w:p>
        </w:tc>
        <w:tc>
          <w:tcPr>
            <w:tcW w:w="6841" w:type="dxa"/>
          </w:tcPr>
          <w:p w14:paraId="243B29D3" w14:textId="77777777" w:rsidR="003B3790" w:rsidRDefault="00A401C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11.01.2011 r. </w:t>
            </w:r>
          </w:p>
        </w:tc>
      </w:tr>
      <w:tr w:rsidR="003B3790" w14:paraId="5DC370E2" w14:textId="77777777">
        <w:trPr>
          <w:trHeight w:val="748"/>
        </w:trPr>
        <w:tc>
          <w:tcPr>
            <w:tcW w:w="2814" w:type="dxa"/>
            <w:shd w:val="clear" w:color="auto" w:fill="F3F3F3"/>
          </w:tcPr>
          <w:p w14:paraId="4A06457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wydania decyzji</w:t>
            </w:r>
          </w:p>
          <w:p w14:paraId="6DA5067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 pozwoleniu na użytkowanie</w:t>
            </w:r>
          </w:p>
        </w:tc>
        <w:tc>
          <w:tcPr>
            <w:tcW w:w="6841" w:type="dxa"/>
          </w:tcPr>
          <w:p w14:paraId="6EF590DD" w14:textId="77777777" w:rsidR="003B3790" w:rsidRDefault="00A401C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04.01.2013 r. </w:t>
            </w:r>
          </w:p>
        </w:tc>
      </w:tr>
      <w:tr w:rsidR="003B3790" w14:paraId="65EBB263" w14:textId="77777777">
        <w:trPr>
          <w:trHeight w:val="892"/>
        </w:trPr>
        <w:tc>
          <w:tcPr>
            <w:tcW w:w="9655" w:type="dxa"/>
            <w:gridSpan w:val="2"/>
            <w:shd w:val="clear" w:color="auto" w:fill="DFDFDF"/>
          </w:tcPr>
          <w:p w14:paraId="2DCE7F0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PRZYKŁAD INNEGO UKOŃCZONEGO PRZEDSIĘWZIĘCIA DEWELOPERSKIEGO</w:t>
            </w:r>
          </w:p>
        </w:tc>
      </w:tr>
      <w:tr w:rsidR="003B3790" w14:paraId="6BDD09C2" w14:textId="77777777">
        <w:trPr>
          <w:trHeight w:val="892"/>
        </w:trPr>
        <w:tc>
          <w:tcPr>
            <w:tcW w:w="9655" w:type="dxa"/>
            <w:gridSpan w:val="2"/>
            <w:shd w:val="clear" w:color="auto" w:fill="DFDFDF"/>
          </w:tcPr>
          <w:p w14:paraId="1E277C6C" w14:textId="77777777" w:rsidR="003B3790" w:rsidRDefault="00A401C9">
            <w:pPr>
              <w:spacing w:before="142"/>
              <w:ind w:left="10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drawing>
                <wp:inline distT="0" distB="0" distL="0" distR="0" wp14:anchorId="3755E820" wp14:editId="75B6E166">
                  <wp:extent cx="5304131" cy="7206484"/>
                  <wp:effectExtent l="0" t="0" r="0" b="0"/>
                  <wp:docPr id="196458324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4131" cy="72064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4B9DAA60" w14:textId="77777777">
        <w:trPr>
          <w:trHeight w:val="892"/>
        </w:trPr>
        <w:tc>
          <w:tcPr>
            <w:tcW w:w="9655" w:type="dxa"/>
            <w:gridSpan w:val="2"/>
            <w:shd w:val="clear" w:color="auto" w:fill="DFDFDF"/>
          </w:tcPr>
          <w:p w14:paraId="19CC3F1B" w14:textId="77777777" w:rsidR="003B3790" w:rsidRDefault="00A401C9">
            <w:pP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lastRenderedPageBreak/>
              <w:drawing>
                <wp:inline distT="0" distB="0" distL="114300" distR="114300" wp14:anchorId="03F1F4BA" wp14:editId="744641FC">
                  <wp:extent cx="6124575" cy="8153400"/>
                  <wp:effectExtent l="0" t="0" r="0" b="0"/>
                  <wp:docPr id="196458324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5" cy="815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1C948962" w14:textId="77777777">
        <w:trPr>
          <w:trHeight w:val="892"/>
        </w:trPr>
        <w:tc>
          <w:tcPr>
            <w:tcW w:w="9655" w:type="dxa"/>
            <w:gridSpan w:val="2"/>
            <w:shd w:val="clear" w:color="auto" w:fill="DFDFDF"/>
          </w:tcPr>
          <w:p w14:paraId="7A9E0E39" w14:textId="77777777" w:rsidR="003B3790" w:rsidRDefault="00A401C9">
            <w:pPr>
              <w:spacing w:before="142"/>
              <w:ind w:left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lastRenderedPageBreak/>
              <w:drawing>
                <wp:inline distT="0" distB="0" distL="0" distR="0" wp14:anchorId="465E4626" wp14:editId="29B60556">
                  <wp:extent cx="6124575" cy="7277100"/>
                  <wp:effectExtent l="0" t="0" r="0" b="0"/>
                  <wp:docPr id="196458324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5" cy="7277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7181725F" w14:textId="77777777">
        <w:trPr>
          <w:trHeight w:val="517"/>
        </w:trPr>
        <w:tc>
          <w:tcPr>
            <w:tcW w:w="2814" w:type="dxa"/>
            <w:shd w:val="clear" w:color="auto" w:fill="F3F3F3"/>
          </w:tcPr>
          <w:p w14:paraId="0967450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841" w:type="dxa"/>
          </w:tcPr>
          <w:p w14:paraId="59CEE704" w14:textId="77777777" w:rsidR="003B3790" w:rsidRDefault="00A401C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ul. Łochowska 36, Warszawa</w:t>
            </w:r>
          </w:p>
        </w:tc>
      </w:tr>
      <w:tr w:rsidR="003B3790" w14:paraId="4F196126" w14:textId="77777777">
        <w:trPr>
          <w:trHeight w:val="518"/>
        </w:trPr>
        <w:tc>
          <w:tcPr>
            <w:tcW w:w="2814" w:type="dxa"/>
            <w:shd w:val="clear" w:color="auto" w:fill="F3F3F3"/>
          </w:tcPr>
          <w:p w14:paraId="0E0D924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rozpoczęcia</w:t>
            </w:r>
          </w:p>
        </w:tc>
        <w:tc>
          <w:tcPr>
            <w:tcW w:w="6841" w:type="dxa"/>
          </w:tcPr>
          <w:p w14:paraId="39B0CF9C" w14:textId="77777777" w:rsidR="003B3790" w:rsidRDefault="00A401C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15.03.2018 r.</w:t>
            </w:r>
          </w:p>
        </w:tc>
      </w:tr>
      <w:tr w:rsidR="003B3790" w14:paraId="635B9BC3" w14:textId="77777777">
        <w:trPr>
          <w:trHeight w:val="748"/>
        </w:trPr>
        <w:tc>
          <w:tcPr>
            <w:tcW w:w="2814" w:type="dxa"/>
            <w:shd w:val="clear" w:color="auto" w:fill="F3F3F3"/>
          </w:tcPr>
          <w:p w14:paraId="1BB0C19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wydania decyzji</w:t>
            </w:r>
          </w:p>
          <w:p w14:paraId="66FFFFC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 pozwoleniu na użytkowanie</w:t>
            </w:r>
          </w:p>
        </w:tc>
        <w:tc>
          <w:tcPr>
            <w:tcW w:w="6841" w:type="dxa"/>
          </w:tcPr>
          <w:p w14:paraId="060405B5" w14:textId="77777777" w:rsidR="003B3790" w:rsidRDefault="00A401C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04.03.2019 r. </w:t>
            </w:r>
          </w:p>
        </w:tc>
      </w:tr>
      <w:tr w:rsidR="003B3790" w14:paraId="02F8508F" w14:textId="77777777">
        <w:trPr>
          <w:trHeight w:val="882"/>
        </w:trPr>
        <w:tc>
          <w:tcPr>
            <w:tcW w:w="9655" w:type="dxa"/>
            <w:gridSpan w:val="2"/>
            <w:shd w:val="clear" w:color="auto" w:fill="DFDFDF"/>
          </w:tcPr>
          <w:p w14:paraId="4C736BB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PRZYKŁAD OSTATNIEGO UKOŃCZONEGO PRZEDSIĘWZIĘCIA DEWELOPERSKIEGO</w:t>
            </w:r>
          </w:p>
        </w:tc>
      </w:tr>
      <w:tr w:rsidR="003B3790" w14:paraId="5D1A0F2C" w14:textId="77777777">
        <w:trPr>
          <w:trHeight w:val="882"/>
        </w:trPr>
        <w:tc>
          <w:tcPr>
            <w:tcW w:w="9655" w:type="dxa"/>
            <w:gridSpan w:val="2"/>
            <w:shd w:val="clear" w:color="auto" w:fill="DFDFDF"/>
          </w:tcPr>
          <w:p w14:paraId="0B3721D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lastRenderedPageBreak/>
              <w:drawing>
                <wp:inline distT="114300" distB="114300" distL="114300" distR="114300" wp14:anchorId="46F76C70" wp14:editId="1D07E75F">
                  <wp:extent cx="6124575" cy="3454400"/>
                  <wp:effectExtent l="0" t="0" r="0" b="0"/>
                  <wp:docPr id="196458324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5" cy="345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5B264CD6" w14:textId="77777777">
        <w:trPr>
          <w:trHeight w:val="882"/>
        </w:trPr>
        <w:tc>
          <w:tcPr>
            <w:tcW w:w="9655" w:type="dxa"/>
            <w:gridSpan w:val="2"/>
            <w:shd w:val="clear" w:color="auto" w:fill="DFDFDF"/>
          </w:tcPr>
          <w:p w14:paraId="4BC4E23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drawing>
                <wp:inline distT="114300" distB="114300" distL="114300" distR="114300" wp14:anchorId="5343E374" wp14:editId="6E79BEF7">
                  <wp:extent cx="6124575" cy="4114800"/>
                  <wp:effectExtent l="0" t="0" r="0" b="0"/>
                  <wp:docPr id="1964583242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5" cy="411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3480A2E4" w14:textId="77777777">
        <w:trPr>
          <w:trHeight w:val="882"/>
        </w:trPr>
        <w:tc>
          <w:tcPr>
            <w:tcW w:w="9655" w:type="dxa"/>
            <w:gridSpan w:val="2"/>
            <w:shd w:val="clear" w:color="auto" w:fill="DFDFDF"/>
          </w:tcPr>
          <w:p w14:paraId="675EA22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lastRenderedPageBreak/>
              <w:drawing>
                <wp:inline distT="114300" distB="114300" distL="114300" distR="114300" wp14:anchorId="4FA0042A" wp14:editId="48CC919B">
                  <wp:extent cx="6124575" cy="3441700"/>
                  <wp:effectExtent l="0" t="0" r="0" b="0"/>
                  <wp:docPr id="196458324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5" cy="344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0394817F" w14:textId="77777777">
        <w:trPr>
          <w:trHeight w:val="882"/>
        </w:trPr>
        <w:tc>
          <w:tcPr>
            <w:tcW w:w="9655" w:type="dxa"/>
            <w:gridSpan w:val="2"/>
            <w:shd w:val="clear" w:color="auto" w:fill="DFDFDF"/>
          </w:tcPr>
          <w:p w14:paraId="45F5D90C" w14:textId="77777777" w:rsidR="003B3790" w:rsidRDefault="00A401C9">
            <w:pP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pl-PL"/>
              </w:rPr>
              <w:drawing>
                <wp:inline distT="114300" distB="114300" distL="114300" distR="114300" wp14:anchorId="6AFAB2AF" wp14:editId="2EA5D970">
                  <wp:extent cx="6124575" cy="3441700"/>
                  <wp:effectExtent l="0" t="0" r="0" b="0"/>
                  <wp:docPr id="196458324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575" cy="344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90" w14:paraId="6C66CCB3" w14:textId="77777777">
        <w:trPr>
          <w:trHeight w:val="518"/>
        </w:trPr>
        <w:tc>
          <w:tcPr>
            <w:tcW w:w="2814" w:type="dxa"/>
            <w:shd w:val="clear" w:color="auto" w:fill="F3F3F3"/>
          </w:tcPr>
          <w:p w14:paraId="73389A5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841" w:type="dxa"/>
          </w:tcPr>
          <w:p w14:paraId="5D85ADB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ul. Łochowska 36, Warszawa</w:t>
            </w:r>
          </w:p>
        </w:tc>
      </w:tr>
      <w:tr w:rsidR="003B3790" w14:paraId="3506DD67" w14:textId="77777777">
        <w:trPr>
          <w:trHeight w:val="517"/>
        </w:trPr>
        <w:tc>
          <w:tcPr>
            <w:tcW w:w="2814" w:type="dxa"/>
            <w:shd w:val="clear" w:color="auto" w:fill="F3F3F3"/>
          </w:tcPr>
          <w:p w14:paraId="3EC7F33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rozpoczęcia</w:t>
            </w:r>
          </w:p>
        </w:tc>
        <w:tc>
          <w:tcPr>
            <w:tcW w:w="6841" w:type="dxa"/>
          </w:tcPr>
          <w:p w14:paraId="17C9D54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16.10.2020 r.</w:t>
            </w:r>
          </w:p>
        </w:tc>
      </w:tr>
      <w:tr w:rsidR="003B3790" w14:paraId="08AC1D32" w14:textId="77777777">
        <w:trPr>
          <w:trHeight w:val="748"/>
        </w:trPr>
        <w:tc>
          <w:tcPr>
            <w:tcW w:w="2814" w:type="dxa"/>
            <w:shd w:val="clear" w:color="auto" w:fill="F3F3F3"/>
          </w:tcPr>
          <w:p w14:paraId="63689A7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wydania decyzji</w:t>
            </w:r>
          </w:p>
          <w:p w14:paraId="3EFBF16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 pozwoleniu na użytkowanie</w:t>
            </w:r>
          </w:p>
        </w:tc>
        <w:tc>
          <w:tcPr>
            <w:tcW w:w="6841" w:type="dxa"/>
          </w:tcPr>
          <w:p w14:paraId="62699CA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16.08.2022 r. </w:t>
            </w:r>
          </w:p>
        </w:tc>
      </w:tr>
    </w:tbl>
    <w:p w14:paraId="4DE8CF2B" w14:textId="77777777" w:rsidR="003B3790" w:rsidRDefault="003B3790">
      <w:pPr>
        <w:tabs>
          <w:tab w:val="left" w:pos="1297"/>
          <w:tab w:val="left" w:pos="1298"/>
        </w:tabs>
        <w:rPr>
          <w:b/>
          <w:bCs/>
          <w:sz w:val="20"/>
          <w:szCs w:val="20"/>
        </w:rPr>
      </w:pPr>
    </w:p>
    <w:tbl>
      <w:tblPr>
        <w:tblStyle w:val="a1"/>
        <w:tblW w:w="965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4"/>
        <w:gridCol w:w="6841"/>
      </w:tblGrid>
      <w:tr w:rsidR="003B3790" w14:paraId="3A62D870" w14:textId="77777777">
        <w:trPr>
          <w:trHeight w:val="1209"/>
        </w:trPr>
        <w:tc>
          <w:tcPr>
            <w:tcW w:w="2814" w:type="dxa"/>
            <w:shd w:val="clear" w:color="auto" w:fill="F3F3F3"/>
          </w:tcPr>
          <w:p w14:paraId="776093D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3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Czy przeciwko deweloperowi prowadzono lub prowadzi się postępowania egzekucyjne na kwotę powyżej 100 000 zł</w:t>
            </w:r>
          </w:p>
        </w:tc>
        <w:tc>
          <w:tcPr>
            <w:tcW w:w="6841" w:type="dxa"/>
          </w:tcPr>
          <w:p w14:paraId="4F1381A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Nie</w:t>
            </w:r>
          </w:p>
        </w:tc>
      </w:tr>
    </w:tbl>
    <w:p w14:paraId="7D160D8F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ind w:left="1298"/>
        <w:rPr>
          <w:b/>
          <w:bCs/>
          <w:color w:val="000000"/>
          <w:sz w:val="20"/>
          <w:szCs w:val="20"/>
        </w:rPr>
      </w:pPr>
    </w:p>
    <w:p w14:paraId="35409D48" w14:textId="77777777" w:rsidR="00954942" w:rsidRDefault="00954942">
      <w:p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ind w:left="1298"/>
        <w:rPr>
          <w:b/>
          <w:bCs/>
          <w:color w:val="000000"/>
          <w:sz w:val="20"/>
          <w:szCs w:val="20"/>
        </w:rPr>
      </w:pPr>
    </w:p>
    <w:p w14:paraId="52133516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ind w:left="1298"/>
        <w:rPr>
          <w:b/>
          <w:bCs/>
          <w:color w:val="000000"/>
          <w:sz w:val="20"/>
          <w:szCs w:val="20"/>
        </w:rPr>
      </w:pPr>
    </w:p>
    <w:p w14:paraId="45E87CDC" w14:textId="77777777" w:rsidR="003B3790" w:rsidRDefault="00A401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7"/>
          <w:tab w:val="left" w:pos="1298"/>
        </w:tabs>
        <w:ind w:hanging="72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INFORMACJE DOTYCZĄCE NIERUCHOMOŚCI I PRZEDSIĘWZIĘCIA DEWELOPERSKIEGO</w:t>
      </w:r>
    </w:p>
    <w:p w14:paraId="030AE508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4"/>
          <w:szCs w:val="14"/>
        </w:rPr>
      </w:pPr>
    </w:p>
    <w:tbl>
      <w:tblPr>
        <w:tblStyle w:val="a2"/>
        <w:tblW w:w="9650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6839"/>
      </w:tblGrid>
      <w:tr w:rsidR="003B3790" w14:paraId="4B40C160" w14:textId="77777777">
        <w:trPr>
          <w:trHeight w:val="892"/>
        </w:trPr>
        <w:tc>
          <w:tcPr>
            <w:tcW w:w="9650" w:type="dxa"/>
            <w:gridSpan w:val="2"/>
            <w:shd w:val="clear" w:color="auto" w:fill="DFDFDF"/>
          </w:tcPr>
          <w:p w14:paraId="540126F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INFORMACJE DOTYCZĄCE GRUNTU I ZAGOSPODAROWANIA PRZESTRZENNEGO TERENU</w:t>
            </w:r>
          </w:p>
        </w:tc>
      </w:tr>
      <w:tr w:rsidR="003B3790" w14:paraId="12E44E80" w14:textId="77777777">
        <w:trPr>
          <w:trHeight w:val="978"/>
        </w:trPr>
        <w:tc>
          <w:tcPr>
            <w:tcW w:w="2811" w:type="dxa"/>
            <w:shd w:val="clear" w:color="auto" w:fill="F3F3F3"/>
          </w:tcPr>
          <w:p w14:paraId="0E47631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Adres, numer działki ewidencyjnej i numer obrębu ewidencyjnego</w:t>
            </w:r>
            <w:r>
              <w:rPr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839" w:type="dxa"/>
          </w:tcPr>
          <w:p w14:paraId="63B0E2F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1400CCE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ul. Warszawska 66 / ul. Dudy-Gracza 2 w Katowicach</w:t>
            </w:r>
          </w:p>
          <w:p w14:paraId="7DC11D8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dz. ew. nr 102, obręb 0002, karta mapy 41, Bogucice - Zawodzie</w:t>
            </w:r>
          </w:p>
          <w:p w14:paraId="74965739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69D12B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3B3790" w14:paraId="326B1908" w14:textId="77777777">
        <w:trPr>
          <w:trHeight w:val="518"/>
        </w:trPr>
        <w:tc>
          <w:tcPr>
            <w:tcW w:w="2811" w:type="dxa"/>
            <w:shd w:val="clear" w:color="auto" w:fill="F3F3F3"/>
          </w:tcPr>
          <w:p w14:paraId="5BA451A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Numer księgi wieczystej</w:t>
            </w:r>
          </w:p>
        </w:tc>
        <w:tc>
          <w:tcPr>
            <w:tcW w:w="6839" w:type="dxa"/>
          </w:tcPr>
          <w:p w14:paraId="49DE372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6CF5F2A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KA1K/0000265/7</w:t>
            </w:r>
          </w:p>
        </w:tc>
      </w:tr>
      <w:tr w:rsidR="003B3790" w14:paraId="068FA4AE" w14:textId="77777777">
        <w:trPr>
          <w:trHeight w:val="1207"/>
        </w:trPr>
        <w:tc>
          <w:tcPr>
            <w:tcW w:w="2811" w:type="dxa"/>
            <w:shd w:val="clear" w:color="auto" w:fill="F3F3F3"/>
          </w:tcPr>
          <w:p w14:paraId="51AC277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Istniejące obciążenia hipoteczne nieruchomości lub wnioski</w:t>
            </w:r>
          </w:p>
          <w:p w14:paraId="5471E43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 wpis w dziale czwartym księgi wieczystej</w:t>
            </w:r>
          </w:p>
        </w:tc>
        <w:tc>
          <w:tcPr>
            <w:tcW w:w="6839" w:type="dxa"/>
          </w:tcPr>
          <w:p w14:paraId="304D7E8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16"/>
                <w:szCs w:val="16"/>
              </w:rPr>
            </w:pPr>
          </w:p>
          <w:p w14:paraId="27FBEBB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4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brak</w:t>
            </w:r>
          </w:p>
        </w:tc>
      </w:tr>
      <w:tr w:rsidR="003B3790" w14:paraId="1FC05E2F" w14:textId="77777777">
        <w:trPr>
          <w:trHeight w:val="1209"/>
        </w:trPr>
        <w:tc>
          <w:tcPr>
            <w:tcW w:w="2811" w:type="dxa"/>
            <w:shd w:val="clear" w:color="auto" w:fill="F3F3F3"/>
          </w:tcPr>
          <w:p w14:paraId="4FAD53B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przypadku braku księgi wieczystej informacja</w:t>
            </w:r>
          </w:p>
          <w:p w14:paraId="47718FA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 powierzchni działki i stanie prawnym nieruchomości</w:t>
            </w:r>
            <w:r>
              <w:rPr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839" w:type="dxa"/>
          </w:tcPr>
          <w:p w14:paraId="6AA0393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nie dotyczy</w:t>
            </w:r>
          </w:p>
        </w:tc>
      </w:tr>
      <w:tr w:rsidR="003B3790" w14:paraId="1655B446" w14:textId="77777777">
        <w:trPr>
          <w:trHeight w:val="1497"/>
        </w:trPr>
        <w:tc>
          <w:tcPr>
            <w:tcW w:w="2811" w:type="dxa"/>
            <w:shd w:val="clear" w:color="auto" w:fill="F3F3F3"/>
          </w:tcPr>
          <w:p w14:paraId="31E9EB1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Informacje dotyczące obiektów istniejących położonych</w:t>
            </w:r>
          </w:p>
          <w:p w14:paraId="75EBDBA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sąsiedztwie inwestycji</w:t>
            </w:r>
          </w:p>
          <w:p w14:paraId="7456151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 wpływających na warunki życia</w:t>
            </w:r>
            <w:r>
              <w:rPr>
                <w:color w:val="00000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6839" w:type="dxa"/>
          </w:tcPr>
          <w:p w14:paraId="25731BF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Ciągi komunikacyjne przy ul. Dudy-Gracza, ul. Warszawskiej i ul. 1-Maja z ruchem kołowym. Wzdłuż ulicy 1 – Maja przebiega linia tramwajowa stanowiąca źródło hałasu szynowego. Obiektem potencjalnie uciążliwym w zasięgu do 500 m może być także trakcja kolejowa. </w:t>
            </w:r>
          </w:p>
          <w:p w14:paraId="4C05D1F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70F1A157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3"/>
        <w:tblW w:w="9650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1954"/>
        <w:gridCol w:w="4885"/>
      </w:tblGrid>
      <w:tr w:rsidR="003B3790" w14:paraId="6815B768" w14:textId="77777777">
        <w:trPr>
          <w:trHeight w:val="1504"/>
        </w:trPr>
        <w:tc>
          <w:tcPr>
            <w:tcW w:w="2811" w:type="dxa"/>
            <w:vMerge w:val="restart"/>
            <w:shd w:val="clear" w:color="auto" w:fill="F3F3F3"/>
          </w:tcPr>
          <w:p w14:paraId="00C7847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Akty planowania przestrzennego i inne akty prawne na terenie objętym przedsięwzięciem deweloperskim lub zadaniem inwestycyjnym</w:t>
            </w:r>
          </w:p>
        </w:tc>
        <w:tc>
          <w:tcPr>
            <w:tcW w:w="1954" w:type="dxa"/>
          </w:tcPr>
          <w:p w14:paraId="013268E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right="9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Studium uwarunkowań i kierunków zagospodarowania przestrzennego gminy</w:t>
            </w:r>
          </w:p>
        </w:tc>
        <w:tc>
          <w:tcPr>
            <w:tcW w:w="4885" w:type="dxa"/>
          </w:tcPr>
          <w:p w14:paraId="05EE65C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right="9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Studium uwarunkowań i kierunków zagospodarowania przestrzennego Miasta Katowice zostało uchwalone przez Radę Miasta Katowice Uchwałą nr XXI/483/12 z dnia 25 kwietnia 2012 r. w sprawie uchwalenia „Studium uwarunkowań i kierunków zagospodarowania przestrzennego miasta Katowice” – II edycja, a następnie zmienione Uchwałą Rady Miasta Katowice nr LXIV/1330/23 z dnia 25 maja 2023 r. w sprawie zmiany nr 1 „Studium uwarunkowań i kierunków zagospodarowania przestrzennego miasta Katowice” – II edycja.</w:t>
            </w:r>
          </w:p>
          <w:p w14:paraId="25C3EADC" w14:textId="77777777" w:rsidR="003B3790" w:rsidRDefault="00793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right="94"/>
              <w:jc w:val="both"/>
              <w:rPr>
                <w:color w:val="000000"/>
                <w:sz w:val="20"/>
                <w:szCs w:val="20"/>
              </w:rPr>
            </w:pPr>
            <w:hyperlink r:id="rId20">
              <w:r w:rsidR="00A401C9">
                <w:rPr>
                  <w:color w:val="0000FF"/>
                  <w:sz w:val="20"/>
                  <w:szCs w:val="20"/>
                  <w:u w:val="single"/>
                </w:rPr>
                <w:t>https://bip.katowice.eu/strona.aspx?idr=99111</w:t>
              </w:r>
            </w:hyperlink>
            <w:r w:rsidR="00A401C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B3790" w14:paraId="6FA7D5C1" w14:textId="77777777">
        <w:trPr>
          <w:trHeight w:val="2019"/>
        </w:trPr>
        <w:tc>
          <w:tcPr>
            <w:tcW w:w="2811" w:type="dxa"/>
            <w:vMerge/>
            <w:shd w:val="clear" w:color="auto" w:fill="F3F3F3"/>
          </w:tcPr>
          <w:p w14:paraId="242A0E7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7C78A99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Miejscowy plan zagospodarowania przestrzennego</w:t>
            </w:r>
          </w:p>
        </w:tc>
        <w:tc>
          <w:tcPr>
            <w:tcW w:w="4885" w:type="dxa"/>
            <w:tcBorders>
              <w:top w:val="nil"/>
            </w:tcBorders>
          </w:tcPr>
          <w:p w14:paraId="3C0FDE74" w14:textId="77777777" w:rsidR="003B3790" w:rsidRDefault="00A40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planu</w:t>
            </w:r>
          </w:p>
          <w:p w14:paraId="47D5C9B4" w14:textId="77777777" w:rsidR="003B3790" w:rsidRDefault="003B3790">
            <w:pPr>
              <w:rPr>
                <w:sz w:val="2"/>
                <w:szCs w:val="2"/>
              </w:rPr>
            </w:pPr>
          </w:p>
        </w:tc>
      </w:tr>
      <w:tr w:rsidR="003B3790" w14:paraId="10C63A95" w14:textId="77777777">
        <w:trPr>
          <w:trHeight w:val="773"/>
        </w:trPr>
        <w:tc>
          <w:tcPr>
            <w:tcW w:w="2811" w:type="dxa"/>
            <w:vMerge/>
            <w:shd w:val="clear" w:color="auto" w:fill="F3F3F3"/>
          </w:tcPr>
          <w:p w14:paraId="14C0456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14:paraId="2F323BE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Miejscowy plan rewitalizacji</w:t>
            </w:r>
          </w:p>
        </w:tc>
        <w:tc>
          <w:tcPr>
            <w:tcW w:w="4885" w:type="dxa"/>
            <w:tcBorders>
              <w:top w:val="nil"/>
            </w:tcBorders>
          </w:tcPr>
          <w:p w14:paraId="353015EF" w14:textId="77777777" w:rsidR="003B3790" w:rsidRDefault="00A40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planu</w:t>
            </w:r>
          </w:p>
        </w:tc>
      </w:tr>
      <w:tr w:rsidR="003B3790" w14:paraId="6DA9AA5A" w14:textId="77777777">
        <w:trPr>
          <w:trHeight w:val="518"/>
        </w:trPr>
        <w:tc>
          <w:tcPr>
            <w:tcW w:w="2811" w:type="dxa"/>
            <w:vMerge/>
            <w:shd w:val="clear" w:color="auto" w:fill="F3F3F3"/>
          </w:tcPr>
          <w:p w14:paraId="1FC227EB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4" w:type="dxa"/>
          </w:tcPr>
          <w:p w14:paraId="7682284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Miejscowy plan odbudowy</w:t>
            </w:r>
          </w:p>
        </w:tc>
        <w:tc>
          <w:tcPr>
            <w:tcW w:w="4885" w:type="dxa"/>
            <w:tcBorders>
              <w:top w:val="nil"/>
            </w:tcBorders>
          </w:tcPr>
          <w:p w14:paraId="7A5017B0" w14:textId="77777777" w:rsidR="003B3790" w:rsidRDefault="00A40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planu</w:t>
            </w:r>
          </w:p>
        </w:tc>
      </w:tr>
      <w:tr w:rsidR="003B3790" w14:paraId="6D87DA86" w14:textId="77777777">
        <w:trPr>
          <w:trHeight w:val="517"/>
        </w:trPr>
        <w:tc>
          <w:tcPr>
            <w:tcW w:w="2811" w:type="dxa"/>
            <w:vMerge/>
            <w:shd w:val="clear" w:color="auto" w:fill="F3F3F3"/>
          </w:tcPr>
          <w:p w14:paraId="20F942C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4" w:type="dxa"/>
          </w:tcPr>
          <w:p w14:paraId="1584489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Inne</w:t>
            </w:r>
            <w:r>
              <w:rPr>
                <w:color w:val="00000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4885" w:type="dxa"/>
            <w:tcBorders>
              <w:top w:val="nil"/>
            </w:tcBorders>
          </w:tcPr>
          <w:p w14:paraId="0EE11FA6" w14:textId="77777777" w:rsidR="003B3790" w:rsidRDefault="00A40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</w:tbl>
    <w:p w14:paraId="0FD741DD" w14:textId="77777777" w:rsidR="003B3790" w:rsidRDefault="003B3790"/>
    <w:tbl>
      <w:tblPr>
        <w:tblStyle w:val="a4"/>
        <w:tblW w:w="9650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1954"/>
        <w:gridCol w:w="4885"/>
      </w:tblGrid>
      <w:tr w:rsidR="003B3790" w14:paraId="6DC1BD7B" w14:textId="77777777">
        <w:trPr>
          <w:trHeight w:val="517"/>
        </w:trPr>
        <w:tc>
          <w:tcPr>
            <w:tcW w:w="2811" w:type="dxa"/>
            <w:vMerge w:val="restart"/>
            <w:shd w:val="clear" w:color="auto" w:fill="F3F3F3"/>
          </w:tcPr>
          <w:p w14:paraId="5006867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Ustalenia obowiązującego </w:t>
            </w:r>
            <w:r>
              <w:rPr>
                <w:color w:val="000000"/>
                <w:sz w:val="20"/>
                <w:szCs w:val="20"/>
              </w:rPr>
              <w:lastRenderedPageBreak/>
              <w:t>miejscowego planu zagospodarowania przestrzennego dla terenu objętego przedsięwzięciem deweloperskim lub zadaniem inwestycyjnym</w:t>
            </w:r>
          </w:p>
        </w:tc>
        <w:tc>
          <w:tcPr>
            <w:tcW w:w="1954" w:type="dxa"/>
          </w:tcPr>
          <w:p w14:paraId="256057A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Przeznaczenie terenu</w:t>
            </w:r>
          </w:p>
        </w:tc>
        <w:tc>
          <w:tcPr>
            <w:tcW w:w="4885" w:type="dxa"/>
          </w:tcPr>
          <w:p w14:paraId="7C0F306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3B3790" w14:paraId="18C54DFF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3C8F098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54" w:type="dxa"/>
          </w:tcPr>
          <w:p w14:paraId="566C4A0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Maksymalna i minimalna intensywność zabudowy</w:t>
            </w:r>
          </w:p>
        </w:tc>
        <w:tc>
          <w:tcPr>
            <w:tcW w:w="4885" w:type="dxa"/>
          </w:tcPr>
          <w:p w14:paraId="136159F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</w:tc>
      </w:tr>
      <w:tr w:rsidR="003B3790" w14:paraId="107EA5EE" w14:textId="77777777">
        <w:trPr>
          <w:trHeight w:val="517"/>
        </w:trPr>
        <w:tc>
          <w:tcPr>
            <w:tcW w:w="2811" w:type="dxa"/>
            <w:vMerge/>
            <w:shd w:val="clear" w:color="auto" w:fill="F3F3F3"/>
          </w:tcPr>
          <w:p w14:paraId="644DED6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1C986F7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Maksymalna wysokość zabudowy</w:t>
            </w:r>
          </w:p>
        </w:tc>
        <w:tc>
          <w:tcPr>
            <w:tcW w:w="4885" w:type="dxa"/>
          </w:tcPr>
          <w:p w14:paraId="1EF9F2A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  <w:p w14:paraId="75DF3EF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B3790" w14:paraId="3C730BF7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65B0510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38219B3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9"/>
                <w:tab w:val="left" w:pos="1892"/>
                <w:tab w:val="left" w:pos="3040"/>
              </w:tabs>
              <w:spacing w:before="137"/>
              <w:ind w:left="108" w:right="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Minimalny</w:t>
            </w:r>
            <w:r>
              <w:rPr>
                <w:color w:val="000000"/>
                <w:sz w:val="20"/>
                <w:szCs w:val="20"/>
              </w:rPr>
              <w:tab/>
              <w:t>udział</w:t>
            </w:r>
            <w:r>
              <w:rPr>
                <w:color w:val="000000"/>
                <w:sz w:val="20"/>
                <w:szCs w:val="20"/>
              </w:rPr>
              <w:tab/>
              <w:t>procentowy</w:t>
            </w:r>
            <w:r>
              <w:rPr>
                <w:color w:val="000000"/>
                <w:sz w:val="20"/>
                <w:szCs w:val="20"/>
              </w:rPr>
              <w:tab/>
              <w:t>po- wierzchni biologicznie czynnej</w:t>
            </w:r>
          </w:p>
        </w:tc>
        <w:tc>
          <w:tcPr>
            <w:tcW w:w="4885" w:type="dxa"/>
          </w:tcPr>
          <w:p w14:paraId="7C4D4C3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Brak planu </w:t>
            </w:r>
          </w:p>
        </w:tc>
      </w:tr>
      <w:tr w:rsidR="003B3790" w14:paraId="3779A104" w14:textId="77777777">
        <w:trPr>
          <w:trHeight w:val="517"/>
        </w:trPr>
        <w:tc>
          <w:tcPr>
            <w:tcW w:w="2811" w:type="dxa"/>
            <w:vMerge/>
            <w:shd w:val="clear" w:color="auto" w:fill="F3F3F3"/>
          </w:tcPr>
          <w:p w14:paraId="249EDEF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7DDC9A9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Minimalna liczba miejsc do parkowania</w:t>
            </w:r>
          </w:p>
        </w:tc>
        <w:tc>
          <w:tcPr>
            <w:tcW w:w="4885" w:type="dxa"/>
          </w:tcPr>
          <w:p w14:paraId="1322C20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Brak planu </w:t>
            </w:r>
          </w:p>
        </w:tc>
      </w:tr>
      <w:tr w:rsidR="003B3790" w14:paraId="749FC84A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5022EB9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66B4271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 ochrony środowiska i zdrowia ludzi, przyrody i krajobrazu</w:t>
            </w:r>
          </w:p>
        </w:tc>
        <w:tc>
          <w:tcPr>
            <w:tcW w:w="4885" w:type="dxa"/>
          </w:tcPr>
          <w:p w14:paraId="284B87A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</w:tc>
      </w:tr>
      <w:tr w:rsidR="003B3790" w14:paraId="64997A67" w14:textId="77777777">
        <w:trPr>
          <w:trHeight w:val="1206"/>
        </w:trPr>
        <w:tc>
          <w:tcPr>
            <w:tcW w:w="2811" w:type="dxa"/>
            <w:vMerge/>
            <w:shd w:val="clear" w:color="auto" w:fill="F3F3F3"/>
          </w:tcPr>
          <w:p w14:paraId="30D3A8AF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42FB075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Wymagania  dotyczące  zabudowy i zagospodarowania terenu położonego na obszarach szczególnego zagrożenia powodzią</w:t>
            </w:r>
          </w:p>
        </w:tc>
        <w:tc>
          <w:tcPr>
            <w:tcW w:w="4885" w:type="dxa"/>
          </w:tcPr>
          <w:p w14:paraId="335525D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</w:tc>
      </w:tr>
    </w:tbl>
    <w:p w14:paraId="6EF99E54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5"/>
        <w:tblW w:w="9650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3418"/>
        <w:gridCol w:w="3421"/>
      </w:tblGrid>
      <w:tr w:rsidR="003B3790" w14:paraId="5EDF6578" w14:textId="77777777">
        <w:trPr>
          <w:trHeight w:val="979"/>
        </w:trPr>
        <w:tc>
          <w:tcPr>
            <w:tcW w:w="2811" w:type="dxa"/>
            <w:vMerge w:val="restart"/>
            <w:shd w:val="clear" w:color="auto" w:fill="F3F3F3"/>
          </w:tcPr>
          <w:p w14:paraId="793BDF5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</w:tcPr>
          <w:p w14:paraId="08F4234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right="9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 ochrony dziedzictwa kulturowego i zabytków oraz dóbr kultury współczesnej</w:t>
            </w:r>
          </w:p>
        </w:tc>
        <w:tc>
          <w:tcPr>
            <w:tcW w:w="3421" w:type="dxa"/>
          </w:tcPr>
          <w:p w14:paraId="18FA8C2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Brak planu </w:t>
            </w:r>
          </w:p>
        </w:tc>
      </w:tr>
      <w:tr w:rsidR="003B3790" w14:paraId="7652E9B3" w14:textId="77777777">
        <w:trPr>
          <w:trHeight w:val="1206"/>
        </w:trPr>
        <w:tc>
          <w:tcPr>
            <w:tcW w:w="2811" w:type="dxa"/>
            <w:vMerge/>
            <w:shd w:val="clear" w:color="auto" w:fill="F3F3F3"/>
          </w:tcPr>
          <w:p w14:paraId="3B449A5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51E2BF9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right="9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Wymagania dotyczące ochrony innych terenów lub obiektów podlegających ochronie na podstawie przepisów od- rębnych</w:t>
            </w:r>
          </w:p>
        </w:tc>
        <w:tc>
          <w:tcPr>
            <w:tcW w:w="3421" w:type="dxa"/>
          </w:tcPr>
          <w:p w14:paraId="02DD13F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Brak planu </w:t>
            </w:r>
          </w:p>
        </w:tc>
      </w:tr>
      <w:tr w:rsidR="003B3790" w14:paraId="54AF9D9D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65DC8079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573989E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righ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 i szczegółowe zasady obsługi w zakresie komunikacji</w:t>
            </w:r>
          </w:p>
        </w:tc>
        <w:tc>
          <w:tcPr>
            <w:tcW w:w="3421" w:type="dxa"/>
          </w:tcPr>
          <w:p w14:paraId="556B7A7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  <w:p w14:paraId="17461F7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832ECB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3790" w14:paraId="6F1C91A8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703E8359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2941DC1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 i szczegółowe zasady obsługi w zakresie infrastruktury technicznej</w:t>
            </w:r>
          </w:p>
        </w:tc>
        <w:tc>
          <w:tcPr>
            <w:tcW w:w="3421" w:type="dxa"/>
          </w:tcPr>
          <w:p w14:paraId="5EA4B0B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Brak planu </w:t>
            </w:r>
          </w:p>
        </w:tc>
      </w:tr>
      <w:tr w:rsidR="003B3790" w14:paraId="2B0E9C61" w14:textId="77777777">
        <w:trPr>
          <w:trHeight w:val="518"/>
        </w:trPr>
        <w:tc>
          <w:tcPr>
            <w:tcW w:w="2811" w:type="dxa"/>
            <w:vMerge w:val="restart"/>
            <w:shd w:val="clear" w:color="auto" w:fill="F3F3F3"/>
          </w:tcPr>
          <w:p w14:paraId="360CBBD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5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Ustalenia obowiązującego miejscowego planu zagospodarowania</w:t>
            </w:r>
          </w:p>
          <w:p w14:paraId="218DF60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25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przestrzennego dla działek lub ich fragmentów, znajdujących się w odległości do 100 m</w:t>
            </w:r>
          </w:p>
          <w:p w14:paraId="5E25223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 granicy terenu objętego przedsięwzięciem deweloperskim lub zadaniem inwestycyjnym</w:t>
            </w:r>
            <w:r>
              <w:rPr>
                <w:color w:val="000000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3418" w:type="dxa"/>
          </w:tcPr>
          <w:p w14:paraId="519F965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Przeznaczenie terenu</w:t>
            </w:r>
          </w:p>
        </w:tc>
        <w:tc>
          <w:tcPr>
            <w:tcW w:w="3421" w:type="dxa"/>
          </w:tcPr>
          <w:p w14:paraId="72575E1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  <w:p w14:paraId="1CC0C9E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B3790" w14:paraId="31BD3CF3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6A91F99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7D20490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Maksymalna i minimalna intensywność zabudowy</w:t>
            </w:r>
          </w:p>
        </w:tc>
        <w:tc>
          <w:tcPr>
            <w:tcW w:w="3421" w:type="dxa"/>
          </w:tcPr>
          <w:p w14:paraId="5A9F70F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</w:tc>
      </w:tr>
      <w:tr w:rsidR="003B3790" w14:paraId="4F4167DA" w14:textId="77777777">
        <w:trPr>
          <w:trHeight w:val="518"/>
        </w:trPr>
        <w:tc>
          <w:tcPr>
            <w:tcW w:w="2811" w:type="dxa"/>
            <w:vMerge/>
            <w:shd w:val="clear" w:color="auto" w:fill="F3F3F3"/>
          </w:tcPr>
          <w:p w14:paraId="43D7F6D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</w:tcPr>
          <w:p w14:paraId="4F266C2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Maksymalna wysokość zabudowy</w:t>
            </w:r>
          </w:p>
        </w:tc>
        <w:tc>
          <w:tcPr>
            <w:tcW w:w="3421" w:type="dxa"/>
          </w:tcPr>
          <w:p w14:paraId="100FF54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</w:tc>
      </w:tr>
      <w:tr w:rsidR="003B3790" w14:paraId="25001EC8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1B3A05D7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</w:tcPr>
          <w:p w14:paraId="1BFED54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99"/>
                <w:tab w:val="left" w:pos="1892"/>
                <w:tab w:val="left" w:pos="3040"/>
              </w:tabs>
              <w:spacing w:before="137"/>
              <w:ind w:left="108" w:right="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Minimalny</w:t>
            </w:r>
            <w:r>
              <w:rPr>
                <w:color w:val="000000"/>
                <w:sz w:val="20"/>
                <w:szCs w:val="20"/>
              </w:rPr>
              <w:tab/>
              <w:t>udział</w:t>
            </w:r>
            <w:r>
              <w:rPr>
                <w:color w:val="000000"/>
                <w:sz w:val="20"/>
                <w:szCs w:val="20"/>
              </w:rPr>
              <w:tab/>
              <w:t>procentowy</w:t>
            </w:r>
            <w:r>
              <w:rPr>
                <w:color w:val="000000"/>
                <w:sz w:val="20"/>
                <w:szCs w:val="20"/>
              </w:rPr>
              <w:tab/>
              <w:t>po- wierzchni biologicznie czynnej</w:t>
            </w:r>
          </w:p>
        </w:tc>
        <w:tc>
          <w:tcPr>
            <w:tcW w:w="3421" w:type="dxa"/>
          </w:tcPr>
          <w:p w14:paraId="1A4A072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</w:tc>
      </w:tr>
      <w:tr w:rsidR="003B3790" w14:paraId="3F1535C4" w14:textId="77777777">
        <w:trPr>
          <w:trHeight w:val="518"/>
        </w:trPr>
        <w:tc>
          <w:tcPr>
            <w:tcW w:w="2811" w:type="dxa"/>
            <w:vMerge/>
            <w:shd w:val="clear" w:color="auto" w:fill="F3F3F3"/>
          </w:tcPr>
          <w:p w14:paraId="10A9B56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</w:tcPr>
          <w:p w14:paraId="59A1D71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Minimalna liczba miejsc do parkowania</w:t>
            </w:r>
          </w:p>
        </w:tc>
        <w:tc>
          <w:tcPr>
            <w:tcW w:w="3421" w:type="dxa"/>
          </w:tcPr>
          <w:p w14:paraId="30C6361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</w:tc>
      </w:tr>
      <w:tr w:rsidR="003B3790" w14:paraId="67FDB4B2" w14:textId="77777777">
        <w:trPr>
          <w:trHeight w:val="1687"/>
        </w:trPr>
        <w:tc>
          <w:tcPr>
            <w:tcW w:w="2811" w:type="dxa"/>
            <w:vMerge w:val="restart"/>
            <w:shd w:val="clear" w:color="auto" w:fill="F3F3F3"/>
          </w:tcPr>
          <w:p w14:paraId="2BBC894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Ustalenia decyzji o warunkach zabudowy albo decyzji</w:t>
            </w:r>
          </w:p>
          <w:p w14:paraId="7AEA4F6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 ustaleniu lokalizacji inwestycji celu publicznego dla terenu objętego</w:t>
            </w:r>
          </w:p>
          <w:p w14:paraId="09F5765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przedsięwzięciem deweloperskim lub zadaniem </w:t>
            </w:r>
            <w:r>
              <w:rPr>
                <w:color w:val="000000"/>
                <w:sz w:val="20"/>
                <w:szCs w:val="20"/>
              </w:rPr>
              <w:lastRenderedPageBreak/>
              <w:t>inwestycyjnym w przypadku braku miejscowego planu zagospodarowania przestrzennego</w:t>
            </w:r>
          </w:p>
        </w:tc>
        <w:tc>
          <w:tcPr>
            <w:tcW w:w="3418" w:type="dxa"/>
          </w:tcPr>
          <w:p w14:paraId="28C8CEF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32"/>
                <w:szCs w:val="32"/>
              </w:rPr>
            </w:pPr>
          </w:p>
          <w:p w14:paraId="3AB9269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Funkcja zabudowy i zagospodarowania terenu</w:t>
            </w:r>
          </w:p>
        </w:tc>
        <w:tc>
          <w:tcPr>
            <w:tcW w:w="3421" w:type="dxa"/>
          </w:tcPr>
          <w:p w14:paraId="6C0A133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32"/>
                <w:szCs w:val="32"/>
              </w:rPr>
            </w:pPr>
          </w:p>
          <w:p w14:paraId="598F42A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Sposób użytkowania obiektów budowlanych oraz zagospodarowania terenu</w:t>
            </w:r>
          </w:p>
        </w:tc>
      </w:tr>
      <w:tr w:rsidR="003B3790" w14:paraId="1E095E99" w14:textId="77777777">
        <w:trPr>
          <w:trHeight w:val="517"/>
        </w:trPr>
        <w:tc>
          <w:tcPr>
            <w:tcW w:w="2811" w:type="dxa"/>
            <w:vMerge/>
            <w:shd w:val="clear" w:color="auto" w:fill="F3F3F3"/>
          </w:tcPr>
          <w:p w14:paraId="0B0A064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39" w:type="dxa"/>
            <w:gridSpan w:val="2"/>
          </w:tcPr>
          <w:p w14:paraId="1AA0988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Cechy zabudowy i zagospodarowania terenu:</w:t>
            </w:r>
          </w:p>
        </w:tc>
      </w:tr>
      <w:tr w:rsidR="003B3790" w14:paraId="615B6966" w14:textId="77777777">
        <w:trPr>
          <w:trHeight w:val="517"/>
        </w:trPr>
        <w:tc>
          <w:tcPr>
            <w:tcW w:w="2811" w:type="dxa"/>
            <w:vMerge/>
            <w:shd w:val="clear" w:color="auto" w:fill="F3F3F3"/>
          </w:tcPr>
          <w:p w14:paraId="687ED35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647EC6E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gabaryty</w:t>
            </w:r>
          </w:p>
        </w:tc>
        <w:tc>
          <w:tcPr>
            <w:tcW w:w="3421" w:type="dxa"/>
          </w:tcPr>
          <w:p w14:paraId="6EA1C0B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Bez zmian: obwód: 70,51 m, powierzchnia zabudowy: 303,47 m</w:t>
            </w:r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14:paraId="4E6B382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255D37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Planowane odtworzenie historycznych zwieńczeń attyk bocznych (nadbudowa na około 1 m) oraz wykonanie </w:t>
            </w:r>
            <w:proofErr w:type="spellStart"/>
            <w:r>
              <w:rPr>
                <w:color w:val="000000"/>
                <w:sz w:val="20"/>
                <w:szCs w:val="20"/>
              </w:rPr>
              <w:t>lukard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 mansardach frontowych dotyczy elementów dodatkowych a nie głównej bryły budynku, dlatego też nie ma wpływu na wysokość górnych krawędzi elewacji frontowych; </w:t>
            </w:r>
          </w:p>
          <w:p w14:paraId="319E1E8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A06C20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Bez zmian w geometrii dachu oraz w wysokości kalenic;</w:t>
            </w:r>
          </w:p>
          <w:p w14:paraId="104F010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1E74C0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Mansardy frontowe bez zmian za wyjątkiem wykonania lukarn o dachu płaskim lub wielospadowym oraz okien połaciowych zgodnie z warunkami konserwatorskimi.</w:t>
            </w:r>
          </w:p>
        </w:tc>
      </w:tr>
      <w:tr w:rsidR="003B3790" w14:paraId="6A7D5CF8" w14:textId="77777777">
        <w:trPr>
          <w:trHeight w:val="518"/>
        </w:trPr>
        <w:tc>
          <w:tcPr>
            <w:tcW w:w="2811" w:type="dxa"/>
            <w:vMerge/>
            <w:shd w:val="clear" w:color="auto" w:fill="F3F3F3"/>
          </w:tcPr>
          <w:p w14:paraId="0AE7604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696423D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forma architektoniczna</w:t>
            </w:r>
          </w:p>
        </w:tc>
        <w:tc>
          <w:tcPr>
            <w:tcW w:w="3421" w:type="dxa"/>
          </w:tcPr>
          <w:p w14:paraId="41BF7F2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Wynika z zaleceń określonych na podstawie przeprowadzonej analizy architektoniczna – urbanistycznej; nawiązuje do obiektów istniejących w sąsiedztwie i tworzy z istniejącymi budynkami jedną, pod względem architektonicznym, całość oraz spełnia wymagania konserwatorskie. </w:t>
            </w:r>
          </w:p>
        </w:tc>
      </w:tr>
      <w:tr w:rsidR="003B3790" w14:paraId="6943628F" w14:textId="77777777">
        <w:trPr>
          <w:trHeight w:val="517"/>
        </w:trPr>
        <w:tc>
          <w:tcPr>
            <w:tcW w:w="2811" w:type="dxa"/>
            <w:vMerge/>
            <w:shd w:val="clear" w:color="auto" w:fill="F3F3F3"/>
          </w:tcPr>
          <w:p w14:paraId="66648E9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3ABEA09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usytuowanie linii zabudowy</w:t>
            </w:r>
          </w:p>
        </w:tc>
        <w:tc>
          <w:tcPr>
            <w:tcW w:w="3421" w:type="dxa"/>
          </w:tcPr>
          <w:p w14:paraId="3E240FC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Linia zabudowy, zgodnie z odstępstwem od art. 43 ust. 1 ustawy o drogach publicznych (Dz. U. z 2024 r., poz. 320) wydanym przez Miejski Zarząd Ulic i Mostów w Katowicach za pismem z dnia 09.09.2024 r. znak: WD.445.127.2024.KM-3231/UM jest następująca:</w:t>
            </w:r>
          </w:p>
          <w:p w14:paraId="087F463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5B4EFB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dla balkonów zlokalizowanych na kondygnacjach ponad parterem – nieprzekraczalna linia zabudowy w odległości 1,5 m od lica ściany budynku,</w:t>
            </w:r>
          </w:p>
          <w:p w14:paraId="595DFE0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5E625C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dla pozostałych elementów budynku – nieprzekraczalne linie zabudowy – w istniejących liniach zabudowy budynku</w:t>
            </w:r>
          </w:p>
        </w:tc>
      </w:tr>
      <w:tr w:rsidR="003B3790" w14:paraId="5DFA7FF7" w14:textId="77777777">
        <w:trPr>
          <w:trHeight w:val="518"/>
        </w:trPr>
        <w:tc>
          <w:tcPr>
            <w:tcW w:w="2811" w:type="dxa"/>
            <w:vMerge/>
            <w:shd w:val="clear" w:color="auto" w:fill="F3F3F3"/>
          </w:tcPr>
          <w:p w14:paraId="5928F50B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134D92D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intensywność wykorzystania terenu</w:t>
            </w:r>
          </w:p>
        </w:tc>
        <w:tc>
          <w:tcPr>
            <w:tcW w:w="3421" w:type="dxa"/>
          </w:tcPr>
          <w:p w14:paraId="2206446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Wskaźnik zabudowy:</w:t>
            </w:r>
          </w:p>
          <w:p w14:paraId="6579F8A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dla terenu – 0,069 ÷ 0,71</w:t>
            </w:r>
          </w:p>
          <w:p w14:paraId="1345207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dla działki budowlanej nr 102: 0,82 ÷ 0,85</w:t>
            </w:r>
          </w:p>
        </w:tc>
      </w:tr>
      <w:tr w:rsidR="003B3790" w14:paraId="527A11D9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6E0C1CA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61B4A23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 ochrony środowiska i zdrowia ludzi, przyrody i krajobrazu</w:t>
            </w:r>
          </w:p>
        </w:tc>
        <w:tc>
          <w:tcPr>
            <w:tcW w:w="3421" w:type="dxa"/>
          </w:tcPr>
          <w:p w14:paraId="69BFE69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Inwestycja </w:t>
            </w:r>
            <w:r>
              <w:rPr>
                <w:b/>
                <w:bCs/>
                <w:color w:val="000000"/>
                <w:sz w:val="20"/>
                <w:szCs w:val="20"/>
              </w:rPr>
              <w:t>nie zalicza się</w:t>
            </w:r>
            <w:r>
              <w:rPr>
                <w:color w:val="000000"/>
                <w:sz w:val="20"/>
                <w:szCs w:val="20"/>
              </w:rPr>
              <w:t xml:space="preserve"> do przedsięwzięć mogących zawsze znacząco lub potencjalnie znacząco oddziaływać na środowisko.</w:t>
            </w:r>
          </w:p>
          <w:p w14:paraId="01FDAA5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B7D692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Projekt decyzji o pozwoleniu na budowę dla Inwestycji został uzgodniony w trybie art. 53 ust. 5 ustawy o planowaniu i zagospodarowaniu przestrzennym przez Państwowego Powiatowego Inspektora Sanitarnego w Katowicach pod względem wymagań higienicznych i zdrowotnych. </w:t>
            </w:r>
          </w:p>
          <w:p w14:paraId="1538064B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1561EE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Projekt decyzji o pozwoleniu na budowę </w:t>
            </w:r>
            <w:r>
              <w:rPr>
                <w:color w:val="000000"/>
                <w:sz w:val="20"/>
                <w:szCs w:val="20"/>
              </w:rPr>
              <w:lastRenderedPageBreak/>
              <w:t>dla Inwestycji został uzgodniony w trybie art. 53 ust. 5 ustawy o planowaniu i zagospodarowaniu przestrzennym z Ministrem Klimatu i Środowiska w odniesieniu do udokumentowanych złóż kopalin, o których mowa w art. 10 ust. 1 Prawo geologiczne i górnicze, uznanych za strategiczne złóż kopalin, o których mowa w art. 10 ust. 3 ustawy Prawo geologiczne i górnicze oraz kompleksów podziemnego składowania dwutlenku węgla i podziemnych bezzbiornikowych magazynów substancji.</w:t>
            </w:r>
          </w:p>
          <w:p w14:paraId="7FEB309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CB514E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Projekt decyzji o pozwoleniu na budowę dla Inwestycji został uzgodniony w trybie art. 53 ust. 4 pkt 5 w zw. z art. 64 ust. 1 ustawy o planowaniu i zagospodarowaniu przestrzennym z Marszałkiem Województwa Śląskiego w odniesieniu do udokumentowanych złóż kopalin, o których mowa w art. 10 ust. 3 ustawy Prawo geologiczne i górnicze (innych niż złoża strategiczne) oraz wód podziemnych. </w:t>
            </w:r>
          </w:p>
          <w:p w14:paraId="49EFFDB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6E4616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Przy realizacji Inwestycji należy uwzględnić ograniczenia wynikające ze strategicznej  mapy hałasu </w:t>
            </w:r>
            <w:hyperlink r:id="rId21">
              <w:r>
                <w:rPr>
                  <w:color w:val="0000FF"/>
                  <w:sz w:val="20"/>
                  <w:szCs w:val="20"/>
                  <w:u w:val="single"/>
                </w:rPr>
                <w:t>https://emapa.katowice.eu/mszkiip/geoportal-obslugi-obywatela/mapa-akustyczna</w:t>
              </w:r>
            </w:hyperlink>
            <w:r>
              <w:rPr>
                <w:color w:val="000000"/>
                <w:sz w:val="20"/>
                <w:szCs w:val="20"/>
              </w:rPr>
              <w:t xml:space="preserve"> oraz wziąć pod uwagę paramenty zawarte w rozporządzeniu Ministra Środowiska z dnia 14.06.2007 r. </w:t>
            </w:r>
            <w:r>
              <w:rPr>
                <w:i/>
                <w:iCs/>
                <w:color w:val="000000"/>
                <w:sz w:val="20"/>
                <w:szCs w:val="20"/>
              </w:rPr>
              <w:t>w sprawie dopuszczalnych poziomów hałasu w środowisku</w:t>
            </w:r>
            <w:r>
              <w:rPr>
                <w:color w:val="000000"/>
                <w:sz w:val="20"/>
                <w:szCs w:val="20"/>
              </w:rPr>
              <w:t xml:space="preserve"> (Dz.U. z 2014 r., poz. 112). </w:t>
            </w:r>
          </w:p>
        </w:tc>
      </w:tr>
      <w:tr w:rsidR="003B3790" w14:paraId="304EC905" w14:textId="77777777">
        <w:trPr>
          <w:trHeight w:val="1206"/>
        </w:trPr>
        <w:tc>
          <w:tcPr>
            <w:tcW w:w="2811" w:type="dxa"/>
            <w:vMerge/>
            <w:shd w:val="clear" w:color="auto" w:fill="F3F3F3"/>
          </w:tcPr>
          <w:p w14:paraId="300B92B7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47084B0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right="8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3421" w:type="dxa"/>
          </w:tcPr>
          <w:p w14:paraId="243214A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nie dotyczy</w:t>
            </w:r>
          </w:p>
        </w:tc>
      </w:tr>
    </w:tbl>
    <w:p w14:paraId="59829ECE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132473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069FA91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5"/>
          <w:szCs w:val="15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B936CE3" wp14:editId="51C51A14">
                <wp:simplePos x="0" y="0"/>
                <wp:positionH relativeFrom="column">
                  <wp:posOffset>139700</wp:posOffset>
                </wp:positionH>
                <wp:positionV relativeFrom="paragraph">
                  <wp:posOffset>122555</wp:posOffset>
                </wp:positionV>
                <wp:extent cx="6350" cy="12700"/>
                <wp:effectExtent l="0" t="0" r="0" b="0"/>
                <wp:wrapTopAndBottom distT="0" distB="0"/>
                <wp:docPr id="1964583235" name="Prostokąt 1964583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283" y="3776825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855667" w14:textId="77777777" w:rsidR="009B1385" w:rsidRDefault="009B138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964583235" o:spid="_x0000_s1027" style="position:absolute;margin-left:11pt;margin-top:9.65pt;width:.5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" fillcolor="black" stroked="f">
                <v:textbox inset="2.53958mm,2.53958mm,2.53958mm,2.53958mm">
                  <w:txbxContent>
                    <w:p w14:paraId="21855667" w14:textId="77777777" w:rsidR="009B1385" w:rsidRDefault="009B1385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CBE354A" w14:textId="77777777" w:rsidR="003B3790" w:rsidRDefault="00A401C9">
      <w:pPr>
        <w:spacing w:before="96"/>
        <w:ind w:left="220"/>
        <w:rPr>
          <w:sz w:val="18"/>
          <w:szCs w:val="18"/>
        </w:rPr>
        <w:sectPr w:rsidR="003B3790">
          <w:headerReference w:type="default" r:id="rId22"/>
          <w:footerReference w:type="default" r:id="rId23"/>
          <w:pgSz w:w="11910" w:h="16840"/>
          <w:pgMar w:top="1200" w:right="900" w:bottom="280" w:left="800" w:header="974" w:footer="0" w:gutter="0"/>
          <w:pgNumType w:start="1"/>
          <w:cols w:space="708"/>
        </w:sectPr>
      </w:pPr>
      <w:r>
        <w:rPr>
          <w:sz w:val="18"/>
          <w:szCs w:val="18"/>
          <w:vertAlign w:val="superscript"/>
        </w:rPr>
        <w:t>5)</w:t>
      </w:r>
      <w:r>
        <w:rPr>
          <w:sz w:val="18"/>
          <w:szCs w:val="18"/>
        </w:rPr>
        <w:t xml:space="preserve">  W przypadku braku miejscowego planu zagospodarowania przestrzennego umieszcza się informację „Brak planu”.</w:t>
      </w:r>
    </w:p>
    <w:p w14:paraId="380F3399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6"/>
        <w:tblW w:w="9650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3418"/>
        <w:gridCol w:w="3421"/>
      </w:tblGrid>
      <w:tr w:rsidR="003B3790" w14:paraId="290C016D" w14:textId="77777777">
        <w:trPr>
          <w:trHeight w:val="979"/>
        </w:trPr>
        <w:tc>
          <w:tcPr>
            <w:tcW w:w="2811" w:type="dxa"/>
            <w:vMerge w:val="restart"/>
            <w:shd w:val="clear" w:color="auto" w:fill="F3F3F3"/>
          </w:tcPr>
          <w:p w14:paraId="3A3B34A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</w:tcPr>
          <w:p w14:paraId="0C5F836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 ochrony dziedzictwa kulturowego i zabytków oraz dóbr kultury współczesnej</w:t>
            </w:r>
          </w:p>
        </w:tc>
        <w:tc>
          <w:tcPr>
            <w:tcW w:w="3421" w:type="dxa"/>
          </w:tcPr>
          <w:p w14:paraId="4740914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Budynek jest objęty gminną ewidencją zabytków znajdujących się na terenie Miasta Katowice, a w związku z tym przy realizacji Inwestycji należy spełnić warunki stanowiące podstawę do ustalenia warunków konserwatorskich przy projekcie decyzji o warunkach zabudowy dla Inwestycji, które zostały sprecyzowane przez Biuro Konserwatora Zabytków w piśmie z dnia 05.08.2024 r. znak: AB-I.6730.179.2024.EK, znak: BKZ.ZD-00163/24 tj.: </w:t>
            </w:r>
          </w:p>
          <w:p w14:paraId="13125DF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2AB61E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na elewacjach widocznych od strony przestrzeni publicznej należy wykonać remont konserwatorski, bez docieplenia zewnętrznego, z renowacją i wiernym odtworzeniem brakujących elementów detalu architektonicznego i sztukatorskiego w tym zdemontowanych obecnie zwieńczeń szczytów, </w:t>
            </w:r>
            <w:proofErr w:type="spellStart"/>
            <w:r>
              <w:rPr>
                <w:color w:val="000000"/>
                <w:sz w:val="20"/>
                <w:szCs w:val="20"/>
              </w:rPr>
              <w:t>reprofilacją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profili zatartych opora z renowacją powierzchni ceglanych</w:t>
            </w:r>
            <w:r>
              <w:rPr>
                <w:color w:val="000000"/>
                <w:sz w:val="18"/>
                <w:szCs w:val="18"/>
              </w:rPr>
              <w:t xml:space="preserve"> z czyszczeniem </w:t>
            </w:r>
            <w:r>
              <w:rPr>
                <w:color w:val="000000"/>
                <w:sz w:val="20"/>
                <w:szCs w:val="20"/>
              </w:rPr>
              <w:t>metodą chemiczną i wykonywaniem nowego fugowania;</w:t>
            </w:r>
          </w:p>
          <w:p w14:paraId="43D8F72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58F3BA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 obrębie parteru należy przywrócić pierwotny kształt witryn przebudowanych na prostokątne i zabudować witryny drewniane, odtworzyć brakujące fragmenty boniowania – wg. boniowania istniejącego, odsłonić cokół z piaskowca i poddać go renowacji, zabudować drewnianą, dekorowaną stolarkę okienną według podziałów historycznych, zabudować drzwi zewnętrzne i wrota drewniane, symetryczne, w konstrukcji ramowo – płycinowej z elementami snycerskimi według dekoracji z motywem muszli – zachowanych w pierwotnych drzwiach wewnętrznych;</w:t>
            </w:r>
          </w:p>
          <w:p w14:paraId="12F092B9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2396BE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schody zewnętrzne wykończyć stopnicami;</w:t>
            </w:r>
          </w:p>
          <w:p w14:paraId="5FECFBD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1875F0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przy odbudowanie balkonów należy wykonać balustrady o wzorze historyzującym oraz profilowane obrzeża płyt balkonowych; </w:t>
            </w:r>
          </w:p>
          <w:p w14:paraId="615527D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AE5777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dopuszczalne jest wydłużenie czterech otworów okiennych oraz przebudowana jednego okna na drzwi z koniecznością zabudowy odpowiedniej stolarki – drewnianej, historyzującej, uzgodnionej ze służbą konserwatorską;</w:t>
            </w:r>
          </w:p>
          <w:p w14:paraId="7023B67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51CB91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dopuszcza się nadbudowę budynku polegającą na podwyższeniu ścianek kolankowych poddasza od strony podwórzowej  maksymalnie do poziomu kalenicy istniejącej i wykonaniu nowych połaci podwórzowych dachu z zachowaniem kąta nachylenia połaci </w:t>
            </w:r>
            <w:r>
              <w:rPr>
                <w:color w:val="000000"/>
                <w:sz w:val="20"/>
                <w:szCs w:val="20"/>
              </w:rPr>
              <w:lastRenderedPageBreak/>
              <w:t>mansardowych oraz istniejącej rzędnej kalenicy, bez powiększania gabarytów wstawek wtórnych od strony ul. Warszawskiej;</w:t>
            </w:r>
          </w:p>
          <w:p w14:paraId="59F5A5E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FEAAD7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pokrycie mansard oraz wieży należy wykonać z łupka naturalnego w kolorze naturalnym lub dachówki karpiówki w kolorze ceglastym; </w:t>
            </w:r>
          </w:p>
          <w:p w14:paraId="290D958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Wystawki od strony ul Dudy-Gracza należy projektować zgodnie z formą pierwotną tj. ze spadzistymi daszkami wielospadowymi oraz o wymiarach okien znacząco mniejszych niż na III piętrze z uwagi na konieczność zachowania odpowiednich proporcji;</w:t>
            </w:r>
          </w:p>
          <w:p w14:paraId="092F54F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7DA215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kominy należy projektować jako wewnętrzne w obrębie połaci podwórzowych, zasadniczo jako murowane lub w obudowie lekkiej imitującej kominy marmurowe;</w:t>
            </w:r>
          </w:p>
          <w:p w14:paraId="063D587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A7711C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ewentualne urządzenia klimatyzacyjne dla lokali mieszkalnych należy sytuować na połaciach podwórzowych dachu lub jako stojące na płytach balkonów lecz nie  na elewacjach; ewentualne inne urządzenia techniczne należy sytuować np. w obrębie kubatury lub w głębi połaci podwórzowych dachu;</w:t>
            </w:r>
          </w:p>
          <w:p w14:paraId="44F330D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0A50DF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dopuszcza się zabudowę okien połaciowych pomiędzy wystawkami na elewacji przy ul. Dudy-Gracza oraz montaż paneli fotowoltaicznych lecz wyłącznie na podwórzowych połaciach dachy, ze zminimalizowaną wysokością konstrukcji wsporczej skośnej, odsuniętej od kalenic dachu mansardowego, z uporządkowanych i układem paneli – w uzgodnieniu ze służbą konserwatorską;</w:t>
            </w:r>
          </w:p>
          <w:p w14:paraId="17153AC9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47CEF2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dopuszcza się przebudowę wnętrza kamienicy z budową dźwigu wewnętrznego poza rzutem mansardy oraz nowej klatki schodowej;</w:t>
            </w:r>
          </w:p>
          <w:p w14:paraId="67EEDB7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165741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nie dopuszcza się </w:t>
            </w:r>
            <w:proofErr w:type="spellStart"/>
            <w:r>
              <w:rPr>
                <w:color w:val="000000"/>
                <w:sz w:val="20"/>
                <w:szCs w:val="20"/>
              </w:rPr>
              <w:t>zamurowań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 otworach okiennych na piętrach elewacji od strony ul. Warszawskiej i ul. Dudy Gracza;</w:t>
            </w:r>
          </w:p>
          <w:p w14:paraId="3C2266E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ED169C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we wnętrzu należy eksponować sklepienie w sieni od strony ul. Warszawskiej; </w:t>
            </w:r>
          </w:p>
          <w:p w14:paraId="12D3DF4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52A1E9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przy wejściach do budynku należy wykonać posadzki według rozwiązań pierwotnych z zastosowaniem płytek o rozmiarach do 20/20 cm; </w:t>
            </w:r>
          </w:p>
          <w:p w14:paraId="1BE407E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610179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w wybranych schodach wewnętrznych na parterze należy zastosować aranżację z wykorzystaniem elementów z istniejących </w:t>
            </w:r>
            <w:r>
              <w:rPr>
                <w:color w:val="000000"/>
                <w:sz w:val="20"/>
                <w:szCs w:val="20"/>
              </w:rPr>
              <w:lastRenderedPageBreak/>
              <w:t>klatek schodowych;</w:t>
            </w:r>
          </w:p>
          <w:p w14:paraId="0265BA33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3A4EEC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dopuszcza się przebudowę elewacji podwórzowych z koniecznością wykonania otworów okiennych w proporcjach występujących pierwotnie, ze stolarką o podziałach w nawiązaniu do podziałów stolarki pierwotniej;</w:t>
            </w:r>
          </w:p>
          <w:p w14:paraId="3969F1C3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06C94A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dopuszcza się przebudowę elewacji podwórzowych z koniecznością wykonania otworów okiennych w proporcjach występujących pierwotnie, ze stolarką o podziałach w nawiązaniu do podziałów stolarki pierwotnej;</w:t>
            </w:r>
          </w:p>
          <w:p w14:paraId="50901AE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364949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dopuszcza się docieplenie elewacji podwórzowych metodą lekką mokrą – z ograniczeniem docieplenia do 10 cm lub grubością większą z jednoczesną zmianą płaszczyzny zabudowy stolarki; na dociepleniu należy wykonać detale i oblicówki klinkierowe;</w:t>
            </w:r>
          </w:p>
          <w:p w14:paraId="04A43C3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BA6028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przy wymianie przyłącza gazu lub elektroenergetycznego na elewacjach frontowych należy zabudować złącza jako wnękowe, a nie wolno stojące.</w:t>
            </w:r>
          </w:p>
          <w:p w14:paraId="1ABB25D9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8A7A98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 budowlany dla Inwestycji został w toku postepowania o pozwolenie na budowę zaakceptowany z konserwatorskiego punktu widzenia przez Miejskiego Konserwatora Zabytków pismem z dnia 13.01.2025 r. znak: BKZ.ZD-00007/25, który jednocześnie wskazał następujące wytyczne:</w:t>
            </w:r>
          </w:p>
          <w:p w14:paraId="731FACFB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13C0C9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próby czyszczenia i fugowania lica ceglanego elewacji oraz cokołu z piaskowca. Próby kolorystyczne malowania elementów tynkowych (próba koloru KEIM </w:t>
            </w:r>
            <w:proofErr w:type="spellStart"/>
            <w:r>
              <w:rPr>
                <w:color w:val="000000"/>
                <w:sz w:val="20"/>
                <w:szCs w:val="20"/>
              </w:rPr>
              <w:t>Exclusive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9157) oraz wyprawy cienkowarstwowej na dociepleniu, dobór cegieł klinkierowych na uzupełnienia i rolki parapetowe oraz płytki klinkierowe na oblicówki, a także ostateczny wygląd </w:t>
            </w:r>
            <w:proofErr w:type="spellStart"/>
            <w:r>
              <w:rPr>
                <w:color w:val="000000"/>
                <w:sz w:val="20"/>
                <w:szCs w:val="20"/>
              </w:rPr>
              <w:t>strady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balkonu, jak również liczbę i wygląd opraw oświetleniowych do ewentualnej iluminacji elewacji frontowych, należy zaakceptować komisyjnie, z udziałem przedstawiciela miejskiej służby konserwatorskiej;</w:t>
            </w:r>
          </w:p>
          <w:p w14:paraId="17BB32C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396D74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przy wymianie przyłączy np. elektroenergetycznego i gazowego należy zabudować złącza wbudowane w elewację.  </w:t>
            </w:r>
          </w:p>
          <w:p w14:paraId="4CCE7FD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3B3790" w14:paraId="149FC443" w14:textId="77777777">
        <w:trPr>
          <w:trHeight w:val="1206"/>
        </w:trPr>
        <w:tc>
          <w:tcPr>
            <w:tcW w:w="2811" w:type="dxa"/>
            <w:vMerge/>
            <w:shd w:val="clear" w:color="auto" w:fill="F3F3F3"/>
          </w:tcPr>
          <w:p w14:paraId="4C9F78A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</w:tcPr>
          <w:p w14:paraId="1CE4988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wymagania dotyczące ochrony innych terenów lub obiektów podlegających ochronie na podstawie przepisów od- rębnych</w:t>
            </w:r>
          </w:p>
        </w:tc>
        <w:tc>
          <w:tcPr>
            <w:tcW w:w="3421" w:type="dxa"/>
          </w:tcPr>
          <w:p w14:paraId="08BB4DA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nie dotyczy</w:t>
            </w:r>
          </w:p>
        </w:tc>
      </w:tr>
      <w:tr w:rsidR="003B3790" w14:paraId="41EE6B27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5038ECB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32DE396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8" w:righ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 i szczegółowe zasady obsługi w zakresie komunikacji</w:t>
            </w:r>
          </w:p>
        </w:tc>
        <w:tc>
          <w:tcPr>
            <w:tcW w:w="3421" w:type="dxa"/>
          </w:tcPr>
          <w:p w14:paraId="124C966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Przy realizacji Inwestycji należy spełnić warunki w zakresie obsługi komunikacyjnej sprecyzowane w piśmie Miejskiego Zarządu Ulic i Mostów w Katowicach znak: WD.445.127.2024.KM-3231/UM z dnia 09.09.2024 r. zgodnie z ustawą z dnia 21 marca 1985 r. o drogach publicznych tj.:</w:t>
            </w:r>
          </w:p>
          <w:p w14:paraId="1F32EEE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0039C3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skomunikować inwestycję z ul. Dudy-Gracza poprzez istniejący zjazd</w:t>
            </w:r>
          </w:p>
          <w:p w14:paraId="258D89D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uzgodnić projekt zagospodarowania terenu, stanowiący integralną część projektu budowalnego, z Miejskim Zarządem Ulic i Mostów w Katowicach w zakresie obsługi komunikacyjnej </w:t>
            </w:r>
          </w:p>
        </w:tc>
      </w:tr>
      <w:tr w:rsidR="003B3790" w14:paraId="276F45EB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7291A19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57F17EC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 i szczegółowe zasady obsługi w zakresie infrastruktury technicznej</w:t>
            </w:r>
          </w:p>
        </w:tc>
        <w:tc>
          <w:tcPr>
            <w:tcW w:w="3421" w:type="dxa"/>
          </w:tcPr>
          <w:p w14:paraId="6699F04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uwagi na podłączenia do istniejących sieci prawidłowe funkcjonowanie Inwestycji jest zapewnione:</w:t>
            </w:r>
          </w:p>
          <w:p w14:paraId="3AA4FA3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620D37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000000"/>
                <w:sz w:val="20"/>
                <w:szCs w:val="20"/>
              </w:rPr>
              <w:t>woda i kanalizacja sanitarna</w:t>
            </w:r>
            <w:r>
              <w:rPr>
                <w:color w:val="000000"/>
                <w:sz w:val="20"/>
                <w:szCs w:val="20"/>
              </w:rPr>
              <w:t>: zgodnie z warunkami technicznymi z dnia 24.04.2024 r. znak: WWP.214/2024/WK/SDS/AM, wydanymi przez katowickie Wodociągi S.A. należy wybudować przyłącze ø90mm od istniejącej sieci wodociągowej ø225 mm PE znajdującej się w rejonie ul. Warszawskiej; odprowadzenie ścieków odbywa się przez wykorzystanie istniejącego przyłącza kanalizacyjnego o średnicy ø200 mm PVC do istniejącej sieci kanalizacji sanitarnej ø315mm PVC znajdującej się w rejonie ul. Dudu-Gracza;</w:t>
            </w:r>
          </w:p>
          <w:p w14:paraId="145C9BB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FCEE3D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000000"/>
                <w:sz w:val="20"/>
                <w:szCs w:val="20"/>
              </w:rPr>
              <w:t>wody opadowe</w:t>
            </w:r>
            <w:r>
              <w:rPr>
                <w:color w:val="000000"/>
                <w:sz w:val="20"/>
                <w:szCs w:val="20"/>
              </w:rPr>
              <w:t>: zgodnie z warunkami technicznymi wydanymi przez Katowickie Inwestycja S.A. znak: KISA/DKD/KTK/215/06/2024 z dnia 27.06.2024 r. oraz z Protokołem Rady technicznej deszczowej nr 207/KD/2024 oraz nr 1/KD/2021: wody opadowe należy zagospodarować we własnym zakresie w obrębie swojej działki, przy zachowaniu zasad określonych w art. 234 ustawy z dnia 20.07.2017 r. Prawo wodne; istnieje możliwość odprowadzenia nadmiaru w od opadowych do kanalizacji deszczowej posadowionej w ul. Dudy-</w:t>
            </w:r>
            <w:proofErr w:type="spellStart"/>
            <w:r>
              <w:rPr>
                <w:color w:val="000000"/>
                <w:sz w:val="20"/>
                <w:szCs w:val="20"/>
              </w:rPr>
              <w:t>Graczal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dla rur spustowych od frontu budynku odprowadzenie wód następuje przez istniejące sięgacze; rury spustowe od strony dziedzińca wraz z wpustami podwórzowymi posadowionymi w terenie utwardzanym należy włączyć do zbiornika retencyjnego z przelewem awaryjnym do ww. odbiornika; na terenie inwestycji zastosowania jest błękitno-zielona infrastruktura;</w:t>
            </w:r>
          </w:p>
          <w:p w14:paraId="7F07B4E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5B4D1A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000000"/>
                <w:sz w:val="20"/>
                <w:szCs w:val="20"/>
              </w:rPr>
              <w:t>energia elektryczna</w:t>
            </w:r>
            <w:r>
              <w:rPr>
                <w:color w:val="000000"/>
                <w:sz w:val="20"/>
                <w:szCs w:val="20"/>
              </w:rPr>
              <w:t xml:space="preserve">: zgodnie z warunkami przyłączenia do sieci elektroenergetycznej nr WP/045722/2024/O11R07 z dnia </w:t>
            </w:r>
            <w:r>
              <w:rPr>
                <w:color w:val="000000"/>
                <w:sz w:val="20"/>
                <w:szCs w:val="20"/>
              </w:rPr>
              <w:lastRenderedPageBreak/>
              <w:t>23.04.2024 r. wydanymi przez TAURON Dystrybucja S.A.;</w:t>
            </w:r>
          </w:p>
          <w:p w14:paraId="64DC8AC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BC4BF3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 gaz</w:t>
            </w:r>
            <w:r>
              <w:rPr>
                <w:color w:val="000000"/>
                <w:sz w:val="20"/>
                <w:szCs w:val="20"/>
              </w:rPr>
              <w:t>: zgodnie z warunkami przyłączenia do sieci gazowej z dnia 05.03.2024 r. znak: 3100/0000102997/00001/2024/00000 wydanymi przez Polską Spółkę Gazownictwa sp. z o.o.;</w:t>
            </w:r>
          </w:p>
          <w:p w14:paraId="45E8B9C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C2B2F6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000000"/>
                <w:sz w:val="20"/>
                <w:szCs w:val="20"/>
              </w:rPr>
              <w:t>ogrzewanie</w:t>
            </w:r>
            <w:r>
              <w:rPr>
                <w:color w:val="000000"/>
                <w:sz w:val="20"/>
                <w:szCs w:val="20"/>
              </w:rPr>
              <w:t>: kotłownia gazowa.</w:t>
            </w:r>
          </w:p>
          <w:p w14:paraId="6FC659C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B3790" w14:paraId="7FAF9AC1" w14:textId="77777777">
        <w:trPr>
          <w:trHeight w:val="749"/>
        </w:trPr>
        <w:tc>
          <w:tcPr>
            <w:tcW w:w="2811" w:type="dxa"/>
            <w:vMerge w:val="restart"/>
            <w:shd w:val="clear" w:color="auto" w:fill="F3F3F3"/>
          </w:tcPr>
          <w:p w14:paraId="72DA106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4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Informacje dotyczące przewidzianych inwestycji w promieniu 1 km od terenu objętego przedsięwzięciem</w:t>
            </w:r>
          </w:p>
          <w:p w14:paraId="32B3221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deweloperskim lub zadaniem inwestycyjnym, zawarte w:</w:t>
            </w:r>
          </w:p>
        </w:tc>
        <w:tc>
          <w:tcPr>
            <w:tcW w:w="3418" w:type="dxa"/>
          </w:tcPr>
          <w:p w14:paraId="1D2ED54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miejscowych planach     zagospodarowania przestrzennego</w:t>
            </w:r>
          </w:p>
        </w:tc>
        <w:tc>
          <w:tcPr>
            <w:tcW w:w="3421" w:type="dxa"/>
          </w:tcPr>
          <w:p w14:paraId="28B9866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 planu</w:t>
            </w:r>
          </w:p>
          <w:p w14:paraId="7065BCF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A0F154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B3790" w14:paraId="4185AB62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0ED0E22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7E8034A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studium uwarunkowań i kierunków zagospodarowania przestrzennego gminy</w:t>
            </w:r>
          </w:p>
        </w:tc>
        <w:tc>
          <w:tcPr>
            <w:tcW w:w="3421" w:type="dxa"/>
          </w:tcPr>
          <w:p w14:paraId="1770BFA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Obszar transformacji centrum. Obszarem szczególnej koncentracji przekształceń funkcjonalnych</w:t>
            </w:r>
          </w:p>
          <w:p w14:paraId="5B74A97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 przestrzennych związanych ze wzmacnianiem metropolitalnej roli śródmieścia Katowic są tereny</w:t>
            </w:r>
          </w:p>
          <w:p w14:paraId="2595ADC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tworzące równoległobok o pow. ok. 250 ha, położone w promieniu 1 km od Ronda im. gen. J. Ziętka:</w:t>
            </w:r>
          </w:p>
          <w:p w14:paraId="7A3918B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pomiędzy ulicami </w:t>
            </w:r>
            <w:proofErr w:type="spellStart"/>
            <w:r>
              <w:rPr>
                <w:color w:val="000000"/>
                <w:sz w:val="20"/>
                <w:szCs w:val="20"/>
              </w:rPr>
              <w:t>Stęślickiego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Grundmanna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torami kolejowymi, ul. Graniczną, </w:t>
            </w:r>
            <w:r>
              <w:rPr>
                <w:b/>
                <w:bCs/>
                <w:color w:val="000000"/>
                <w:sz w:val="20"/>
                <w:szCs w:val="20"/>
              </w:rPr>
              <w:t>Dudy-Gracza</w:t>
            </w:r>
            <w:r>
              <w:rPr>
                <w:color w:val="000000"/>
                <w:sz w:val="20"/>
                <w:szCs w:val="20"/>
              </w:rPr>
              <w:t xml:space="preserve"> wraz z jej</w:t>
            </w:r>
          </w:p>
          <w:p w14:paraId="7B76FC4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planowanym przedłużeniem do ul. Katowickiej oraz ulicami Katowicką i Misjonarzy Oblatów;</w:t>
            </w:r>
          </w:p>
          <w:p w14:paraId="1EB80B2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Zgodnie ze studium uwarunkowań niezbędna jest</w:t>
            </w:r>
          </w:p>
          <w:p w14:paraId="159194C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wszechstronna transformacja ścisłego centrum (pow. 250 ha), wyznaczonego ul. </w:t>
            </w:r>
            <w:proofErr w:type="spellStart"/>
            <w:r>
              <w:rPr>
                <w:color w:val="000000"/>
                <w:sz w:val="20"/>
                <w:szCs w:val="20"/>
              </w:rPr>
              <w:t>Stęślickiego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</w:t>
            </w:r>
          </w:p>
          <w:p w14:paraId="0D05E24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Grundmanna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(tereny kolejowe) - Graniczną - Dudy-Gracza - Katowicką i Misjonarzy Oblatów. Zmiany</w:t>
            </w:r>
          </w:p>
          <w:p w14:paraId="35C5751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zagospodarowaniu centrum powinny urzeczywistnić wizję rozwoju miasta, zgodnie ze strategią jego</w:t>
            </w:r>
          </w:p>
          <w:p w14:paraId="7328A90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rozwoju i konkursem </w:t>
            </w:r>
            <w:proofErr w:type="spellStart"/>
            <w:r>
              <w:rPr>
                <w:color w:val="000000"/>
                <w:sz w:val="20"/>
                <w:szCs w:val="20"/>
              </w:rPr>
              <w:t>urbanistyczno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architektonicznym na koncepcję zagospodarowania centrum, jako</w:t>
            </w:r>
          </w:p>
          <w:p w14:paraId="79EA211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</w:t>
            </w:r>
            <w:r>
              <w:rPr>
                <w:i/>
                <w:iCs/>
                <w:color w:val="000000"/>
                <w:sz w:val="20"/>
                <w:szCs w:val="20"/>
              </w:rPr>
              <w:t>wizytówki miasta i regionu przechodzącego metamorfozę, stanowiącego nowoczesną i atrakcyjną</w:t>
            </w:r>
          </w:p>
          <w:p w14:paraId="2603CF8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przestrzeń, o harmonijnej kompozycji urbanistycznej</w:t>
            </w:r>
            <w:r>
              <w:rPr>
                <w:color w:val="000000"/>
                <w:sz w:val="20"/>
                <w:szCs w:val="20"/>
              </w:rPr>
              <w:t>"</w:t>
            </w:r>
          </w:p>
          <w:p w14:paraId="7B3CA6EF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0DD109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Budowa tramwaju wzdłuż ulicy Dudy-Gracza planowana jako część rozbudowy sieci tramwajowej na południe miasta; inwestycja zakłada budowę nowego odcinka tramwajowego, który ma połączyć istniejącą sieć tramwajową z nowymi obszarami na południu miasta; jest to trasa dwutorowa, na całej długości odcinka prowadzona po torowiskach</w:t>
            </w:r>
          </w:p>
          <w:p w14:paraId="1BD15A5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wydzielonych. Trasa ta zapewni komunikację tramwajową dla dużych osiedli mieszkaniowych, w tym</w:t>
            </w:r>
          </w:p>
          <w:p w14:paraId="4982FF3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os. Gwiazdy.</w:t>
            </w:r>
          </w:p>
        </w:tc>
      </w:tr>
      <w:tr w:rsidR="003B3790" w14:paraId="1B6EC7A6" w14:textId="77777777">
        <w:trPr>
          <w:trHeight w:val="518"/>
        </w:trPr>
        <w:tc>
          <w:tcPr>
            <w:tcW w:w="2811" w:type="dxa"/>
            <w:vMerge/>
            <w:shd w:val="clear" w:color="auto" w:fill="F3F3F3"/>
          </w:tcPr>
          <w:p w14:paraId="400CB69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42C6104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9" w:lineRule="auto"/>
              <w:ind w:left="117" w:right="55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decyzjach o warunkach zabudowy i zagospodarowania </w:t>
            </w:r>
            <w:r>
              <w:rPr>
                <w:color w:val="000000"/>
                <w:sz w:val="20"/>
                <w:szCs w:val="20"/>
              </w:rPr>
              <w:lastRenderedPageBreak/>
              <w:t>terenu</w:t>
            </w:r>
          </w:p>
        </w:tc>
        <w:tc>
          <w:tcPr>
            <w:tcW w:w="3421" w:type="dxa"/>
          </w:tcPr>
          <w:p w14:paraId="436B67E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Decyzja z dnia 27.03.2024 r. - Budynek zamieszkania zbiorowego tj. dom</w:t>
            </w:r>
          </w:p>
          <w:p w14:paraId="0A7F042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opieki dla osób starszych, z garażem</w:t>
            </w:r>
          </w:p>
          <w:p w14:paraId="45CE4AB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podziemnym, zagospodarowaniem terenu i infrastrukturą techniczną ul. Warszawska 50 B/C, Katowice, osoba fizyczna</w:t>
            </w:r>
          </w:p>
          <w:p w14:paraId="161446F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2F2287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z dnia 25.06.2024 r. - rozbudowa i zmiana sposobu użytkowania</w:t>
            </w:r>
          </w:p>
          <w:p w14:paraId="3F07882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dawnej pralni na funkcję mieszkalną i usługową wraz z infrastrukturą techniczną i zagospodarowaniem terenu. ul. Warszawska 52, Katowice, Zgromadzenie Sióstr Świętej Elżbiety Prowincja Katowicka, ul. Warszawska 52, 40-008 Katowice</w:t>
            </w:r>
          </w:p>
          <w:p w14:paraId="1EFEB34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C30A1B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z dnia 12.08.2024 r. - nadbudowa i zmiana sposobu użytkowania</w:t>
            </w:r>
          </w:p>
          <w:p w14:paraId="60B85A5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strychu na funkcję mieszkalną w oficynie, ul. Warszawska 26, Katowice; Wspólnota Mieszkaniowa Warszawska 26 w Katowicach ul. Warszawska 26, 40-008 Katowice</w:t>
            </w:r>
          </w:p>
        </w:tc>
      </w:tr>
      <w:tr w:rsidR="003B3790" w14:paraId="73F0D7FE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03EDF17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5A54302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decyzjach o środowiskowych uwarunkowaniach</w:t>
            </w:r>
          </w:p>
        </w:tc>
        <w:tc>
          <w:tcPr>
            <w:tcW w:w="3421" w:type="dxa"/>
          </w:tcPr>
          <w:p w14:paraId="6AC71EA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3B3790" w14:paraId="7407F7A0" w14:textId="77777777">
        <w:trPr>
          <w:trHeight w:val="746"/>
        </w:trPr>
        <w:tc>
          <w:tcPr>
            <w:tcW w:w="2811" w:type="dxa"/>
            <w:vMerge/>
            <w:shd w:val="clear" w:color="auto" w:fill="F3F3F3"/>
          </w:tcPr>
          <w:p w14:paraId="799B22E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4F9807C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uchwałach o obszarach ograniczonego użytkowania</w:t>
            </w:r>
          </w:p>
        </w:tc>
        <w:tc>
          <w:tcPr>
            <w:tcW w:w="3421" w:type="dxa"/>
          </w:tcPr>
          <w:p w14:paraId="16707A1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3B3790" w14:paraId="41DEB001" w14:textId="77777777">
        <w:trPr>
          <w:trHeight w:val="518"/>
        </w:trPr>
        <w:tc>
          <w:tcPr>
            <w:tcW w:w="2811" w:type="dxa"/>
            <w:vMerge/>
            <w:shd w:val="clear" w:color="auto" w:fill="F3F3F3"/>
          </w:tcPr>
          <w:p w14:paraId="70B3B553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3940294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firstLine="1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miejscowych planach odbudowy</w:t>
            </w:r>
          </w:p>
        </w:tc>
        <w:tc>
          <w:tcPr>
            <w:tcW w:w="3421" w:type="dxa"/>
          </w:tcPr>
          <w:p w14:paraId="6D7BCFC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3B3790" w14:paraId="75B69CC3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1712DE8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49EF6B1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4"/>
                <w:tab w:val="left" w:pos="2086"/>
              </w:tabs>
              <w:spacing w:before="137"/>
              <w:ind w:left="117" w:righ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mapach</w:t>
            </w:r>
            <w:r>
              <w:rPr>
                <w:color w:val="000000"/>
                <w:sz w:val="20"/>
                <w:szCs w:val="20"/>
              </w:rPr>
              <w:tab/>
              <w:t>zagrożenia</w:t>
            </w:r>
            <w:r>
              <w:rPr>
                <w:color w:val="000000"/>
                <w:sz w:val="20"/>
                <w:szCs w:val="20"/>
              </w:rPr>
              <w:tab/>
              <w:t>powodziowego i mapach ryzyka powodziowego</w:t>
            </w:r>
          </w:p>
        </w:tc>
        <w:tc>
          <w:tcPr>
            <w:tcW w:w="3421" w:type="dxa"/>
          </w:tcPr>
          <w:p w14:paraId="00EBEB8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3B3790" w14:paraId="157724E7" w14:textId="77777777">
        <w:trPr>
          <w:trHeight w:val="930"/>
        </w:trPr>
        <w:tc>
          <w:tcPr>
            <w:tcW w:w="2811" w:type="dxa"/>
            <w:vMerge/>
            <w:shd w:val="clear" w:color="auto" w:fill="F3F3F3"/>
          </w:tcPr>
          <w:p w14:paraId="79A8CA1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839" w:type="dxa"/>
            <w:gridSpan w:val="2"/>
          </w:tcPr>
          <w:p w14:paraId="5B5CE2D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8" w:right="9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Ustalenia decyzji w zakresie rozmieszczenia inwestycji celu publicznego, mogące mieć znaczenie dla terenu objętego przedsięwzięciem deweloperskim lub zadaniem inwestycyjnym:</w:t>
            </w:r>
          </w:p>
        </w:tc>
      </w:tr>
      <w:tr w:rsidR="003B3790" w14:paraId="517E7895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16CF80BF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318AD62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zezwoleniu na realizację inwestycji drogowej</w:t>
            </w:r>
          </w:p>
        </w:tc>
        <w:tc>
          <w:tcPr>
            <w:tcW w:w="3421" w:type="dxa"/>
          </w:tcPr>
          <w:p w14:paraId="3646B44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3B3790" w14:paraId="1E1A167F" w14:textId="77777777">
        <w:trPr>
          <w:trHeight w:val="746"/>
        </w:trPr>
        <w:tc>
          <w:tcPr>
            <w:tcW w:w="2811" w:type="dxa"/>
            <w:vMerge/>
            <w:shd w:val="clear" w:color="auto" w:fill="F3F3F3"/>
          </w:tcPr>
          <w:p w14:paraId="7BE4CAD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1346645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ustaleniu lokalizacji linii kolejowej</w:t>
            </w:r>
          </w:p>
        </w:tc>
        <w:tc>
          <w:tcPr>
            <w:tcW w:w="3421" w:type="dxa"/>
          </w:tcPr>
          <w:p w14:paraId="0E84F79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3B3790" w14:paraId="282D1DBC" w14:textId="77777777">
        <w:trPr>
          <w:trHeight w:val="978"/>
        </w:trPr>
        <w:tc>
          <w:tcPr>
            <w:tcW w:w="2811" w:type="dxa"/>
            <w:vMerge/>
            <w:shd w:val="clear" w:color="auto" w:fill="F3F3F3"/>
          </w:tcPr>
          <w:p w14:paraId="69DDCF0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7D5CA8B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8" w:right="9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zezwoleniu na realizację inwestycji w zakresie lotniska użytku publicznego</w:t>
            </w:r>
          </w:p>
        </w:tc>
        <w:tc>
          <w:tcPr>
            <w:tcW w:w="3421" w:type="dxa"/>
          </w:tcPr>
          <w:p w14:paraId="66C17ED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  <w:tr w:rsidR="003B3790" w14:paraId="4B0BE1A9" w14:textId="77777777">
        <w:trPr>
          <w:trHeight w:val="978"/>
        </w:trPr>
        <w:tc>
          <w:tcPr>
            <w:tcW w:w="2811" w:type="dxa"/>
            <w:vMerge/>
            <w:shd w:val="clear" w:color="auto" w:fill="F3F3F3"/>
          </w:tcPr>
          <w:p w14:paraId="65DA7E4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</w:tcPr>
          <w:p w14:paraId="0A2B407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pozwoleniu na realizację inwestycji w zakresie budowli przeciw- powodziowych</w:t>
            </w:r>
          </w:p>
        </w:tc>
        <w:tc>
          <w:tcPr>
            <w:tcW w:w="3421" w:type="dxa"/>
          </w:tcPr>
          <w:p w14:paraId="3855B4F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brak</w:t>
            </w:r>
          </w:p>
        </w:tc>
      </w:tr>
    </w:tbl>
    <w:p w14:paraId="21DCF540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7"/>
        <w:tblW w:w="958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962"/>
        <w:gridCol w:w="2456"/>
        <w:gridCol w:w="1371"/>
        <w:gridCol w:w="1985"/>
      </w:tblGrid>
      <w:tr w:rsidR="003B3790" w14:paraId="7BC958EC" w14:textId="77777777">
        <w:trPr>
          <w:trHeight w:val="979"/>
        </w:trPr>
        <w:tc>
          <w:tcPr>
            <w:tcW w:w="2811" w:type="dxa"/>
            <w:vMerge w:val="restart"/>
            <w:shd w:val="clear" w:color="auto" w:fill="F3F3F3"/>
          </w:tcPr>
          <w:p w14:paraId="34B95E7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bookmarkStart w:id="0" w:name="_heading=h.mtu7y5iucwc" w:colFirst="0" w:colLast="0"/>
            <w:bookmarkEnd w:id="0"/>
          </w:p>
        </w:tc>
        <w:tc>
          <w:tcPr>
            <w:tcW w:w="3418" w:type="dxa"/>
            <w:gridSpan w:val="2"/>
          </w:tcPr>
          <w:p w14:paraId="46698FE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ustaleniu lokalizacji inwestycji w zakresie budowy obiektu energetyki jądrowej</w:t>
            </w:r>
          </w:p>
        </w:tc>
        <w:tc>
          <w:tcPr>
            <w:tcW w:w="3356" w:type="dxa"/>
            <w:gridSpan w:val="2"/>
          </w:tcPr>
          <w:p w14:paraId="5AC2BC9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3B3790" w14:paraId="3E19F234" w14:textId="77777777">
        <w:trPr>
          <w:trHeight w:val="978"/>
        </w:trPr>
        <w:tc>
          <w:tcPr>
            <w:tcW w:w="2811" w:type="dxa"/>
            <w:vMerge/>
            <w:shd w:val="clear" w:color="auto" w:fill="F3F3F3"/>
          </w:tcPr>
          <w:p w14:paraId="766549C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  <w:gridSpan w:val="2"/>
          </w:tcPr>
          <w:p w14:paraId="26CCFEE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ustaleniu lokalizacji strategicznej inwestycji w zakresie sieci przesyłowej</w:t>
            </w:r>
          </w:p>
        </w:tc>
        <w:tc>
          <w:tcPr>
            <w:tcW w:w="3356" w:type="dxa"/>
            <w:gridSpan w:val="2"/>
          </w:tcPr>
          <w:p w14:paraId="215B13F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3B3790" w14:paraId="0154DFB1" w14:textId="77777777">
        <w:trPr>
          <w:trHeight w:val="746"/>
        </w:trPr>
        <w:tc>
          <w:tcPr>
            <w:tcW w:w="2811" w:type="dxa"/>
            <w:vMerge/>
            <w:shd w:val="clear" w:color="auto" w:fill="F3F3F3"/>
          </w:tcPr>
          <w:p w14:paraId="046D77F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  <w:gridSpan w:val="2"/>
          </w:tcPr>
          <w:p w14:paraId="769F94E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ustaleniu lokalizacji regionalnej sieci szerokopasmowej</w:t>
            </w:r>
          </w:p>
        </w:tc>
        <w:tc>
          <w:tcPr>
            <w:tcW w:w="3356" w:type="dxa"/>
            <w:gridSpan w:val="2"/>
          </w:tcPr>
          <w:p w14:paraId="6320EDE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brak</w:t>
            </w:r>
          </w:p>
        </w:tc>
      </w:tr>
      <w:tr w:rsidR="003B3790" w14:paraId="3C35529A" w14:textId="77777777">
        <w:trPr>
          <w:trHeight w:val="978"/>
        </w:trPr>
        <w:tc>
          <w:tcPr>
            <w:tcW w:w="2811" w:type="dxa"/>
            <w:vMerge/>
            <w:shd w:val="clear" w:color="auto" w:fill="F3F3F3"/>
          </w:tcPr>
          <w:p w14:paraId="3016321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18" w:type="dxa"/>
            <w:gridSpan w:val="2"/>
          </w:tcPr>
          <w:p w14:paraId="5E8B627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8" w:right="9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ustaleniu lokalizacji inwestycji w zakresie Centralnego Portu Komunikacyjnego</w:t>
            </w:r>
          </w:p>
        </w:tc>
        <w:tc>
          <w:tcPr>
            <w:tcW w:w="3356" w:type="dxa"/>
            <w:gridSpan w:val="2"/>
          </w:tcPr>
          <w:p w14:paraId="244D154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brak</w:t>
            </w:r>
          </w:p>
        </w:tc>
      </w:tr>
      <w:tr w:rsidR="003B3790" w14:paraId="6343AD2E" w14:textId="77777777">
        <w:trPr>
          <w:trHeight w:val="979"/>
        </w:trPr>
        <w:tc>
          <w:tcPr>
            <w:tcW w:w="2811" w:type="dxa"/>
            <w:vMerge/>
            <w:shd w:val="clear" w:color="auto" w:fill="F3F3F3"/>
          </w:tcPr>
          <w:p w14:paraId="64AEBEA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18" w:type="dxa"/>
            <w:gridSpan w:val="2"/>
          </w:tcPr>
          <w:p w14:paraId="1ED5DFC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zezwoleniu na realizację inwestycji w zakresie infrastruktury dostępowej</w:t>
            </w:r>
          </w:p>
        </w:tc>
        <w:tc>
          <w:tcPr>
            <w:tcW w:w="3356" w:type="dxa"/>
            <w:gridSpan w:val="2"/>
          </w:tcPr>
          <w:p w14:paraId="0DF74CA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brak</w:t>
            </w:r>
          </w:p>
        </w:tc>
      </w:tr>
      <w:tr w:rsidR="003B3790" w14:paraId="161E6CD3" w14:textId="77777777">
        <w:trPr>
          <w:trHeight w:val="976"/>
        </w:trPr>
        <w:tc>
          <w:tcPr>
            <w:tcW w:w="2811" w:type="dxa"/>
            <w:vMerge/>
            <w:shd w:val="clear" w:color="auto" w:fill="F3F3F3"/>
          </w:tcPr>
          <w:p w14:paraId="36579EB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18" w:type="dxa"/>
            <w:gridSpan w:val="2"/>
          </w:tcPr>
          <w:p w14:paraId="5A71C17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o ustaleniu lokalizacji strategicznej inwestycji w sektorze naftowym</w:t>
            </w:r>
          </w:p>
        </w:tc>
        <w:tc>
          <w:tcPr>
            <w:tcW w:w="3356" w:type="dxa"/>
            <w:gridSpan w:val="2"/>
          </w:tcPr>
          <w:p w14:paraId="5918591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brak</w:t>
            </w:r>
          </w:p>
        </w:tc>
      </w:tr>
      <w:tr w:rsidR="003B3790" w14:paraId="74EDE58E" w14:textId="77777777">
        <w:trPr>
          <w:trHeight w:val="892"/>
        </w:trPr>
        <w:tc>
          <w:tcPr>
            <w:tcW w:w="9585" w:type="dxa"/>
            <w:gridSpan w:val="5"/>
            <w:shd w:val="clear" w:color="auto" w:fill="D9D9D9"/>
          </w:tcPr>
          <w:p w14:paraId="2841873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INFORMACJE DOTYCZĄCE BUDYNKU</w:t>
            </w:r>
          </w:p>
        </w:tc>
      </w:tr>
      <w:tr w:rsidR="003B3790" w14:paraId="48ABB78E" w14:textId="77777777">
        <w:trPr>
          <w:trHeight w:val="892"/>
        </w:trPr>
        <w:tc>
          <w:tcPr>
            <w:tcW w:w="2811" w:type="dxa"/>
            <w:shd w:val="clear" w:color="auto" w:fill="F3F3F3"/>
          </w:tcPr>
          <w:p w14:paraId="658C73D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Czy jest pozwolenie na budowę</w:t>
            </w:r>
          </w:p>
        </w:tc>
        <w:tc>
          <w:tcPr>
            <w:tcW w:w="3418" w:type="dxa"/>
            <w:gridSpan w:val="2"/>
          </w:tcPr>
          <w:p w14:paraId="5844F7A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7"/>
                <w:szCs w:val="27"/>
              </w:rPr>
            </w:pPr>
          </w:p>
          <w:p w14:paraId="68DE188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4" w:right="1513"/>
              <w:jc w:val="center"/>
              <w:rPr>
                <w:rFonts w:ascii="Noto Sans Symbols" w:eastAsia="Noto Sans Symbols" w:hAnsi="Noto Sans Symbols" w:cs="Noto Sans Symbols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356" w:type="dxa"/>
            <w:gridSpan w:val="2"/>
          </w:tcPr>
          <w:p w14:paraId="2B61240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28"/>
                <w:szCs w:val="28"/>
              </w:rPr>
            </w:pPr>
          </w:p>
          <w:p w14:paraId="48B0FB7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29" w:right="15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trike/>
                <w:color w:val="000000"/>
                <w:sz w:val="20"/>
                <w:szCs w:val="20"/>
              </w:rPr>
              <w:t>nie</w:t>
            </w:r>
          </w:p>
        </w:tc>
      </w:tr>
      <w:tr w:rsidR="003B3790" w14:paraId="0406D8D2" w14:textId="77777777">
        <w:trPr>
          <w:trHeight w:val="748"/>
        </w:trPr>
        <w:tc>
          <w:tcPr>
            <w:tcW w:w="2811" w:type="dxa"/>
            <w:shd w:val="clear" w:color="auto" w:fill="F3F3F3"/>
          </w:tcPr>
          <w:p w14:paraId="7EADACA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Czy pozwolenie na budowę jest ostateczne</w:t>
            </w:r>
          </w:p>
        </w:tc>
        <w:tc>
          <w:tcPr>
            <w:tcW w:w="3418" w:type="dxa"/>
            <w:gridSpan w:val="2"/>
          </w:tcPr>
          <w:p w14:paraId="67C6973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1"/>
                <w:szCs w:val="21"/>
              </w:rPr>
            </w:pPr>
          </w:p>
          <w:p w14:paraId="48A399C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25" w:right="151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356" w:type="dxa"/>
            <w:gridSpan w:val="2"/>
          </w:tcPr>
          <w:p w14:paraId="47504D9A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1"/>
                <w:szCs w:val="21"/>
              </w:rPr>
            </w:pPr>
          </w:p>
          <w:p w14:paraId="6EBDD7A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29" w:right="1513"/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strike/>
                <w:color w:val="000000"/>
                <w:sz w:val="20"/>
                <w:szCs w:val="20"/>
              </w:rPr>
              <w:t>nie</w:t>
            </w:r>
          </w:p>
        </w:tc>
      </w:tr>
      <w:tr w:rsidR="003B3790" w14:paraId="64DDB06D" w14:textId="77777777">
        <w:trPr>
          <w:trHeight w:val="748"/>
        </w:trPr>
        <w:tc>
          <w:tcPr>
            <w:tcW w:w="2811" w:type="dxa"/>
            <w:shd w:val="clear" w:color="auto" w:fill="F3F3F3"/>
          </w:tcPr>
          <w:p w14:paraId="15B897C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Czy pozwolenie na budowę jest zaskarżone</w:t>
            </w:r>
          </w:p>
        </w:tc>
        <w:tc>
          <w:tcPr>
            <w:tcW w:w="3418" w:type="dxa"/>
            <w:gridSpan w:val="2"/>
          </w:tcPr>
          <w:p w14:paraId="65A37C9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1"/>
                <w:szCs w:val="21"/>
              </w:rPr>
            </w:pPr>
          </w:p>
          <w:p w14:paraId="4BEEA74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25" w:right="1512"/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strike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356" w:type="dxa"/>
            <w:gridSpan w:val="2"/>
          </w:tcPr>
          <w:p w14:paraId="1D936DF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1"/>
                <w:szCs w:val="21"/>
              </w:rPr>
            </w:pPr>
          </w:p>
          <w:p w14:paraId="3BEF42A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29" w:right="15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nie</w:t>
            </w:r>
          </w:p>
        </w:tc>
      </w:tr>
      <w:tr w:rsidR="003B3790" w14:paraId="018EDF64" w14:textId="77777777">
        <w:trPr>
          <w:trHeight w:val="976"/>
        </w:trPr>
        <w:tc>
          <w:tcPr>
            <w:tcW w:w="2811" w:type="dxa"/>
            <w:shd w:val="clear" w:color="auto" w:fill="F3F3F3"/>
          </w:tcPr>
          <w:p w14:paraId="27C62DA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Numer pozwolenia na budowę oraz nazwa organu, który je wydał</w:t>
            </w:r>
          </w:p>
        </w:tc>
        <w:tc>
          <w:tcPr>
            <w:tcW w:w="6774" w:type="dxa"/>
            <w:gridSpan w:val="4"/>
          </w:tcPr>
          <w:p w14:paraId="78D304C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decyzja Prezydenta Miasta Katowice z dnia 03.03.2025 r. znak: RBDEC-0092/2025</w:t>
            </w:r>
          </w:p>
          <w:p w14:paraId="526B830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Decyzja jest ostateczna z dniem </w:t>
            </w:r>
            <w:r>
              <w:rPr>
                <w:b/>
                <w:bCs/>
                <w:color w:val="000000"/>
                <w:sz w:val="20"/>
                <w:szCs w:val="20"/>
              </w:rPr>
              <w:t>21.03.2025 r.</w:t>
            </w:r>
          </w:p>
        </w:tc>
      </w:tr>
      <w:tr w:rsidR="003B3790" w14:paraId="26DF4C91" w14:textId="77777777">
        <w:trPr>
          <w:trHeight w:val="978"/>
        </w:trPr>
        <w:tc>
          <w:tcPr>
            <w:tcW w:w="2811" w:type="dxa"/>
            <w:shd w:val="clear" w:color="auto" w:fill="F3F3F3"/>
          </w:tcPr>
          <w:p w14:paraId="611CC11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0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uprawomocnienia się decyzji o pozwoleniu na użytkowanie budynku</w:t>
            </w:r>
          </w:p>
        </w:tc>
        <w:tc>
          <w:tcPr>
            <w:tcW w:w="6774" w:type="dxa"/>
            <w:gridSpan w:val="4"/>
          </w:tcPr>
          <w:p w14:paraId="272961CF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99A133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21.03.2025.</w:t>
            </w:r>
          </w:p>
        </w:tc>
      </w:tr>
      <w:tr w:rsidR="003B3790" w14:paraId="471129C0" w14:textId="77777777">
        <w:trPr>
          <w:trHeight w:val="2539"/>
        </w:trPr>
        <w:tc>
          <w:tcPr>
            <w:tcW w:w="2811" w:type="dxa"/>
            <w:shd w:val="clear" w:color="auto" w:fill="F3F3F3"/>
          </w:tcPr>
          <w:p w14:paraId="5F8923A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Numer zgłoszenia budowy,</w:t>
            </w:r>
          </w:p>
          <w:p w14:paraId="2B289FD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1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 której mowa w art. 29 ust. 1 pkt 1 ustawy z dnia 7 lipca 1994 r. – Prawo budowlane (Dz. U.</w:t>
            </w:r>
          </w:p>
          <w:p w14:paraId="5089F35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2020 r. poz. 1333, 2127 i 2320</w:t>
            </w:r>
          </w:p>
          <w:p w14:paraId="57486B4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oraz z 2021 r. poz. 11, 234, 282 i 784), oraz oznaczenie organu,</w:t>
            </w:r>
          </w:p>
          <w:p w14:paraId="1049530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16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którego dokonano zgłoszenia, wraz z informacją o braku wniesienia sprzeciwu przez ten organ</w:t>
            </w:r>
          </w:p>
        </w:tc>
        <w:tc>
          <w:tcPr>
            <w:tcW w:w="6774" w:type="dxa"/>
            <w:gridSpan w:val="4"/>
          </w:tcPr>
          <w:p w14:paraId="6801DB4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2A46EA9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DA1B57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FBB4237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DE8037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18D88FC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Nie dotyczy</w:t>
            </w:r>
          </w:p>
        </w:tc>
      </w:tr>
      <w:tr w:rsidR="003B3790" w14:paraId="608427F7" w14:textId="77777777">
        <w:trPr>
          <w:trHeight w:val="748"/>
        </w:trPr>
        <w:tc>
          <w:tcPr>
            <w:tcW w:w="2811" w:type="dxa"/>
            <w:shd w:val="clear" w:color="auto" w:fill="F3F3F3"/>
          </w:tcPr>
          <w:p w14:paraId="787B7DC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zakończenia budowy domu jednorodzinnego</w:t>
            </w:r>
          </w:p>
        </w:tc>
        <w:tc>
          <w:tcPr>
            <w:tcW w:w="6774" w:type="dxa"/>
            <w:gridSpan w:val="4"/>
          </w:tcPr>
          <w:p w14:paraId="3494D24C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C547E7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Nie dotyczy</w:t>
            </w:r>
          </w:p>
        </w:tc>
      </w:tr>
      <w:tr w:rsidR="003B3790" w14:paraId="6E5071B2" w14:textId="77777777">
        <w:trPr>
          <w:trHeight w:val="978"/>
        </w:trPr>
        <w:tc>
          <w:tcPr>
            <w:tcW w:w="2811" w:type="dxa"/>
            <w:shd w:val="clear" w:color="auto" w:fill="F3F3F3"/>
          </w:tcPr>
          <w:p w14:paraId="48FE2A4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2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Planowany termin rozpoczęcia i zakończenia robót budowlanych</w:t>
            </w:r>
          </w:p>
        </w:tc>
        <w:tc>
          <w:tcPr>
            <w:tcW w:w="6774" w:type="dxa"/>
            <w:gridSpan w:val="4"/>
          </w:tcPr>
          <w:p w14:paraId="59A9208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Termin rozpoczęcia: </w:t>
            </w:r>
            <w:r>
              <w:rPr>
                <w:b/>
                <w:bCs/>
                <w:color w:val="000000"/>
                <w:sz w:val="20"/>
                <w:szCs w:val="20"/>
              </w:rPr>
              <w:t>22 marca 2025 r.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851344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Termin zakończenia: </w:t>
            </w:r>
            <w:r>
              <w:rPr>
                <w:b/>
                <w:bCs/>
                <w:color w:val="000000"/>
                <w:sz w:val="20"/>
                <w:szCs w:val="20"/>
              </w:rPr>
              <w:t>III kwartał 2026 r.</w:t>
            </w:r>
          </w:p>
        </w:tc>
      </w:tr>
      <w:tr w:rsidR="003B3790" w14:paraId="04037946" w14:textId="77777777">
        <w:trPr>
          <w:trHeight w:val="518"/>
        </w:trPr>
        <w:tc>
          <w:tcPr>
            <w:tcW w:w="2811" w:type="dxa"/>
            <w:vMerge w:val="restart"/>
            <w:shd w:val="clear" w:color="auto" w:fill="F3F3F3"/>
          </w:tcPr>
          <w:p w14:paraId="1F269FF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7D2B82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</w:rPr>
            </w:pPr>
          </w:p>
          <w:p w14:paraId="59EF23E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Opis przedsięwzięcia deweloperskiego lub zadania inwestycyjnego</w:t>
            </w:r>
          </w:p>
        </w:tc>
        <w:tc>
          <w:tcPr>
            <w:tcW w:w="3418" w:type="dxa"/>
            <w:gridSpan w:val="2"/>
          </w:tcPr>
          <w:p w14:paraId="464050A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Liczba budynków</w:t>
            </w:r>
          </w:p>
        </w:tc>
        <w:tc>
          <w:tcPr>
            <w:tcW w:w="3356" w:type="dxa"/>
            <w:gridSpan w:val="2"/>
          </w:tcPr>
          <w:p w14:paraId="2C63997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B3790" w14:paraId="54B76F61" w14:textId="77777777">
        <w:trPr>
          <w:trHeight w:val="976"/>
        </w:trPr>
        <w:tc>
          <w:tcPr>
            <w:tcW w:w="2811" w:type="dxa"/>
            <w:vMerge/>
            <w:shd w:val="clear" w:color="auto" w:fill="F3F3F3"/>
          </w:tcPr>
          <w:p w14:paraId="14501C64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  <w:gridSpan w:val="2"/>
          </w:tcPr>
          <w:p w14:paraId="605DF76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Rozmieszczenie budynków na nieruchomości (należy podać minimalny odstęp między budynkami)</w:t>
            </w:r>
          </w:p>
        </w:tc>
        <w:tc>
          <w:tcPr>
            <w:tcW w:w="3356" w:type="dxa"/>
            <w:gridSpan w:val="2"/>
          </w:tcPr>
          <w:p w14:paraId="0FE80FE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nie dotyczy</w:t>
            </w:r>
          </w:p>
        </w:tc>
      </w:tr>
      <w:tr w:rsidR="003B3790" w14:paraId="1CB02695" w14:textId="77777777">
        <w:trPr>
          <w:trHeight w:val="979"/>
        </w:trPr>
        <w:tc>
          <w:tcPr>
            <w:tcW w:w="2811" w:type="dxa"/>
            <w:shd w:val="clear" w:color="auto" w:fill="F3F3F3"/>
          </w:tcPr>
          <w:p w14:paraId="1C38C13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Sposób pomiaru powierzchni użytkowej lokalu mieszkalnego albo domu jednorodzinnego</w:t>
            </w:r>
          </w:p>
        </w:tc>
        <w:tc>
          <w:tcPr>
            <w:tcW w:w="6774" w:type="dxa"/>
            <w:gridSpan w:val="4"/>
          </w:tcPr>
          <w:p w14:paraId="485A3BAB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Zgodny z normą PN-ISO 9836:2022-07, z uwzględnieniem właściwych przepisów</w:t>
            </w:r>
          </w:p>
          <w:p w14:paraId="48AFE849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rozporządzenia Ministra Rozwoju z dnia 11 września 2020 roku w sprawie</w:t>
            </w:r>
          </w:p>
          <w:p w14:paraId="1F6F1835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szczegółowego zakresu i formy projektu budowlanego (tekst jednolity Dz. U. z 2022 roku poz. 1679).</w:t>
            </w:r>
          </w:p>
          <w:p w14:paraId="04005B03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3790" w14:paraId="5CAFD462" w14:textId="77777777">
        <w:trPr>
          <w:trHeight w:val="748"/>
        </w:trPr>
        <w:tc>
          <w:tcPr>
            <w:tcW w:w="2811" w:type="dxa"/>
            <w:vMerge w:val="restart"/>
            <w:shd w:val="clear" w:color="auto" w:fill="F3F3F3"/>
          </w:tcPr>
          <w:p w14:paraId="2CC4E73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Zamierzony sposób</w:t>
            </w:r>
          </w:p>
          <w:p w14:paraId="18E6EE9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 procentowy udział źródeł finansowania przedsięwzięcia deweloperskiego lub zadania inwestycyjnego</w:t>
            </w:r>
          </w:p>
        </w:tc>
        <w:tc>
          <w:tcPr>
            <w:tcW w:w="3418" w:type="dxa"/>
            <w:gridSpan w:val="2"/>
          </w:tcPr>
          <w:p w14:paraId="6E5BE6E0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Rodzaj posiadanych środków finansowych – kredyt, środki własne, inne</w:t>
            </w:r>
          </w:p>
        </w:tc>
        <w:tc>
          <w:tcPr>
            <w:tcW w:w="3356" w:type="dxa"/>
            <w:gridSpan w:val="2"/>
          </w:tcPr>
          <w:p w14:paraId="56B51F47" w14:textId="0022A4F5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Środki własne – 6</w:t>
            </w:r>
            <w:r w:rsidR="00BE4A78" w:rsidRPr="00854676">
              <w:rPr>
                <w:color w:val="000000"/>
                <w:sz w:val="20"/>
                <w:szCs w:val="20"/>
              </w:rPr>
              <w:t>4</w:t>
            </w:r>
            <w:r w:rsidRPr="00854676">
              <w:rPr>
                <w:color w:val="000000"/>
                <w:sz w:val="20"/>
                <w:szCs w:val="20"/>
              </w:rPr>
              <w:t>,</w:t>
            </w:r>
            <w:r w:rsidR="00700DC6" w:rsidRPr="00854676">
              <w:rPr>
                <w:color w:val="000000"/>
                <w:sz w:val="20"/>
                <w:szCs w:val="20"/>
              </w:rPr>
              <w:t>17</w:t>
            </w:r>
            <w:r w:rsidRPr="00854676">
              <w:rPr>
                <w:color w:val="000000"/>
                <w:sz w:val="20"/>
                <w:szCs w:val="20"/>
              </w:rPr>
              <w:t xml:space="preserve"> % </w:t>
            </w:r>
          </w:p>
          <w:p w14:paraId="7D7DC307" w14:textId="099C422C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Finansowanie kredytem bankowym – 3</w:t>
            </w:r>
            <w:r w:rsidR="00700DC6" w:rsidRPr="00854676">
              <w:rPr>
                <w:color w:val="000000"/>
                <w:sz w:val="20"/>
                <w:szCs w:val="20"/>
              </w:rPr>
              <w:t>5</w:t>
            </w:r>
            <w:r w:rsidRPr="00854676">
              <w:rPr>
                <w:color w:val="000000"/>
                <w:sz w:val="20"/>
                <w:szCs w:val="20"/>
              </w:rPr>
              <w:t>,</w:t>
            </w:r>
            <w:r w:rsidR="00700DC6" w:rsidRPr="00854676">
              <w:rPr>
                <w:color w:val="000000"/>
                <w:sz w:val="20"/>
                <w:szCs w:val="20"/>
              </w:rPr>
              <w:t>83</w:t>
            </w:r>
            <w:r w:rsidRPr="00854676">
              <w:rPr>
                <w:color w:val="000000"/>
                <w:sz w:val="20"/>
                <w:szCs w:val="20"/>
              </w:rPr>
              <w:t xml:space="preserve"> %</w:t>
            </w:r>
          </w:p>
        </w:tc>
      </w:tr>
      <w:tr w:rsidR="003B3790" w14:paraId="35A22BBF" w14:textId="77777777">
        <w:trPr>
          <w:trHeight w:val="748"/>
        </w:trPr>
        <w:tc>
          <w:tcPr>
            <w:tcW w:w="2811" w:type="dxa"/>
            <w:vMerge/>
            <w:shd w:val="clear" w:color="auto" w:fill="F3F3F3"/>
          </w:tcPr>
          <w:p w14:paraId="6073A2B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  <w:gridSpan w:val="2"/>
          </w:tcPr>
          <w:p w14:paraId="4F3654FE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W następujących instytucjach finansowych (wypełnia się w przypadku kredytu)</w:t>
            </w:r>
          </w:p>
        </w:tc>
        <w:tc>
          <w:tcPr>
            <w:tcW w:w="3356" w:type="dxa"/>
            <w:gridSpan w:val="2"/>
          </w:tcPr>
          <w:p w14:paraId="7267808B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r w:rsidRPr="00854676">
              <w:rPr>
                <w:color w:val="FF0000"/>
                <w:sz w:val="18"/>
                <w:szCs w:val="18"/>
              </w:rPr>
              <w:t xml:space="preserve">       </w:t>
            </w:r>
          </w:p>
          <w:p w14:paraId="07BB4066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Śląski Bank Spółdzielczy Silesia w     Katowicach</w:t>
            </w:r>
          </w:p>
        </w:tc>
      </w:tr>
      <w:tr w:rsidR="003B3790" w14:paraId="7865FF12" w14:textId="77777777">
        <w:trPr>
          <w:trHeight w:val="930"/>
        </w:trPr>
        <w:tc>
          <w:tcPr>
            <w:tcW w:w="2811" w:type="dxa"/>
            <w:vMerge w:val="restart"/>
            <w:shd w:val="clear" w:color="auto" w:fill="F3F3F3"/>
          </w:tcPr>
          <w:p w14:paraId="29751C0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Środki ochrony nabywców</w:t>
            </w:r>
          </w:p>
        </w:tc>
        <w:tc>
          <w:tcPr>
            <w:tcW w:w="6774" w:type="dxa"/>
            <w:gridSpan w:val="4"/>
          </w:tcPr>
          <w:p w14:paraId="0CC1D426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Otwarty mieszkaniowy rachunek powierniczy</w:t>
            </w:r>
          </w:p>
          <w:p w14:paraId="02F47CD7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10"/>
              <w:rPr>
                <w:color w:val="000000"/>
                <w:sz w:val="20"/>
                <w:szCs w:val="20"/>
              </w:rPr>
            </w:pPr>
          </w:p>
        </w:tc>
      </w:tr>
      <w:tr w:rsidR="003B3790" w14:paraId="3444C32C" w14:textId="77777777">
        <w:trPr>
          <w:trHeight w:val="976"/>
        </w:trPr>
        <w:tc>
          <w:tcPr>
            <w:tcW w:w="2811" w:type="dxa"/>
            <w:vMerge/>
            <w:shd w:val="clear" w:color="auto" w:fill="F3F3F3"/>
          </w:tcPr>
          <w:p w14:paraId="7BF753DE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18" w:type="dxa"/>
            <w:gridSpan w:val="2"/>
          </w:tcPr>
          <w:p w14:paraId="5A596601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97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Wysokość stawki procentowej, według której jest obliczana kwota składki na Deweloperski Fundusz Gwarancyjny</w:t>
            </w:r>
          </w:p>
        </w:tc>
        <w:tc>
          <w:tcPr>
            <w:tcW w:w="3356" w:type="dxa"/>
            <w:gridSpan w:val="2"/>
          </w:tcPr>
          <w:p w14:paraId="32AB2608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14:paraId="6ADEC96F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14:paraId="7FE2A0EE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854676">
              <w:rPr>
                <w:color w:val="000000"/>
                <w:sz w:val="18"/>
                <w:szCs w:val="18"/>
              </w:rPr>
              <w:t>0,45%</w:t>
            </w:r>
          </w:p>
        </w:tc>
      </w:tr>
      <w:tr w:rsidR="003B3790" w14:paraId="3B53A078" w14:textId="77777777">
        <w:trPr>
          <w:trHeight w:val="1266"/>
        </w:trPr>
        <w:tc>
          <w:tcPr>
            <w:tcW w:w="2811" w:type="dxa"/>
            <w:shd w:val="clear" w:color="auto" w:fill="F3F3F3"/>
          </w:tcPr>
          <w:p w14:paraId="4D003A7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Główne zasady funkcjonowania wybranego rodzaju</w:t>
            </w:r>
          </w:p>
          <w:p w14:paraId="1CCEB12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zabezpieczenia środków nabywcy</w:t>
            </w:r>
          </w:p>
        </w:tc>
        <w:tc>
          <w:tcPr>
            <w:tcW w:w="6774" w:type="dxa"/>
            <w:gridSpan w:val="4"/>
          </w:tcPr>
          <w:p w14:paraId="406F1689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Deweloper oświadcza, że zgodnie z art. 6 ust. 1 pkt 1) ustawy z dnia 20 maja 2021</w:t>
            </w:r>
          </w:p>
          <w:p w14:paraId="00C058CB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r. </w:t>
            </w:r>
            <w:r w:rsidRPr="00854676">
              <w:rPr>
                <w:i/>
                <w:iCs/>
                <w:color w:val="000000"/>
                <w:sz w:val="20"/>
                <w:szCs w:val="20"/>
              </w:rPr>
              <w:t>o ochronie praw nabywcy lokalu mieszkalnego lub domu jednorodzinnego oraz</w:t>
            </w:r>
          </w:p>
          <w:p w14:paraId="6E1B211C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i/>
                <w:iCs/>
                <w:color w:val="000000"/>
                <w:sz w:val="20"/>
                <w:szCs w:val="20"/>
              </w:rPr>
              <w:t>Deweloperskim Funduszu Gwarancyjnym</w:t>
            </w:r>
            <w:r w:rsidRPr="00854676">
              <w:rPr>
                <w:color w:val="000000"/>
                <w:sz w:val="20"/>
                <w:szCs w:val="20"/>
              </w:rPr>
              <w:t xml:space="preserve"> zapewnia środek ochrony w postaci</w:t>
            </w:r>
          </w:p>
          <w:p w14:paraId="21D22650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b/>
                <w:bCs/>
                <w:color w:val="000000"/>
                <w:sz w:val="20"/>
                <w:szCs w:val="20"/>
              </w:rPr>
              <w:t>otwartego mieszkaniowego rachunku powierniczego</w:t>
            </w:r>
            <w:r w:rsidRPr="00854676">
              <w:rPr>
                <w:color w:val="000000"/>
                <w:sz w:val="20"/>
                <w:szCs w:val="20"/>
              </w:rPr>
              <w:t xml:space="preserve"> służący gromadzeniu środków pieniężnych wpłacanych przez Nabywcę na cele określone w umowie deweloperskiej. </w:t>
            </w:r>
          </w:p>
          <w:p w14:paraId="161482BD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2BE83E90" w14:textId="36BDB312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Otwarty rachunek powierniczy jest prowadzony dla Dewelopera przez Śląski Bank Spółdzielczy Silesia w  Katowicach</w:t>
            </w:r>
            <w:r w:rsidRPr="00854676">
              <w:rPr>
                <w:color w:val="000000"/>
              </w:rPr>
              <w:t xml:space="preserve">, adres: </w:t>
            </w:r>
            <w:r w:rsidRPr="00854676">
              <w:rPr>
                <w:color w:val="000000"/>
                <w:sz w:val="20"/>
                <w:szCs w:val="20"/>
              </w:rPr>
              <w:t>ul. ul. Kopernika 5,</w:t>
            </w:r>
            <w:r w:rsidRPr="00854676">
              <w:rPr>
                <w:color w:val="000000"/>
              </w:rPr>
              <w:t xml:space="preserve"> </w:t>
            </w:r>
            <w:r w:rsidRPr="00854676">
              <w:rPr>
                <w:color w:val="000000"/>
                <w:sz w:val="20"/>
                <w:szCs w:val="20"/>
              </w:rPr>
              <w:t>40-064 Katowice</w:t>
            </w:r>
            <w:r w:rsidRPr="00854676">
              <w:rPr>
                <w:color w:val="000000"/>
              </w:rPr>
              <w:t xml:space="preserve">, zarejestrowany w Sądzie Rejonowym </w:t>
            </w:r>
            <w:r w:rsidRPr="00854676">
              <w:rPr>
                <w:color w:val="000000"/>
                <w:sz w:val="20"/>
                <w:szCs w:val="20"/>
              </w:rPr>
              <w:t>Katowice - Wschód w Katowicach, VIII Wydział Gospodarczy Krajowego Rejestru Sądowego</w:t>
            </w:r>
            <w:r w:rsidRPr="00854676">
              <w:rPr>
                <w:color w:val="000000"/>
              </w:rPr>
              <w:t xml:space="preserve">, </w:t>
            </w:r>
            <w:r w:rsidRPr="00854676">
              <w:rPr>
                <w:color w:val="000000"/>
                <w:sz w:val="20"/>
                <w:szCs w:val="20"/>
              </w:rPr>
              <w:t>pod numerem KRS 0000069956,</w:t>
            </w:r>
            <w:r w:rsidRPr="00854676">
              <w:rPr>
                <w:color w:val="000000"/>
              </w:rPr>
              <w:t xml:space="preserve"> NIP: 6340125531, REGON: 000496580, kapitał zakładowy (kapitał wpłacony) [_] zł</w:t>
            </w:r>
            <w:r w:rsidRPr="00854676">
              <w:rPr>
                <w:color w:val="000000"/>
                <w:sz w:val="20"/>
                <w:szCs w:val="20"/>
              </w:rPr>
              <w:t xml:space="preserve"> na podstawie zawartej pomiędzy [_] z siedzibą w [_] a Deweloperem. Umowy mieszkaniowego rachunku powierniczego dla dewelopera o numerze </w:t>
            </w:r>
            <w:r w:rsidR="00C661CA" w:rsidRPr="00854676">
              <w:rPr>
                <w:color w:val="000000"/>
                <w:sz w:val="20"/>
                <w:szCs w:val="20"/>
              </w:rPr>
              <w:t>001</w:t>
            </w:r>
            <w:r w:rsidR="005F40F1" w:rsidRPr="00854676">
              <w:rPr>
                <w:color w:val="000000"/>
                <w:sz w:val="20"/>
                <w:szCs w:val="20"/>
              </w:rPr>
              <w:t>/25/78</w:t>
            </w:r>
            <w:r w:rsidRPr="00854676">
              <w:rPr>
                <w:color w:val="000000"/>
                <w:sz w:val="20"/>
                <w:szCs w:val="20"/>
              </w:rPr>
              <w:t xml:space="preserve"> (zwanego dalej  „</w:t>
            </w:r>
            <w:r w:rsidRPr="00854676">
              <w:rPr>
                <w:b/>
                <w:bCs/>
                <w:color w:val="000000"/>
                <w:sz w:val="20"/>
                <w:szCs w:val="20"/>
              </w:rPr>
              <w:t>OMRP</w:t>
            </w:r>
            <w:r w:rsidRPr="00854676">
              <w:rPr>
                <w:color w:val="000000"/>
                <w:sz w:val="20"/>
                <w:szCs w:val="20"/>
              </w:rPr>
              <w:t>”).</w:t>
            </w:r>
          </w:p>
          <w:p w14:paraId="07B4F31B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43DF0FA7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Środki wpłacone przez Nabywców na OMRP mogą zostać wykorzystane przez Dewelopera wyłącznie na realizację przedsięwzięcia deweloperskiego określonego w umowie deweloperskiej. Bank ewidencjonuje wpłaty dokonane na OMRP i wypłaty z OMRP odrębnie dla każdego Nabywcy, na przypisanym odrębnie dla każdego Nabywcy subkoncie (indywidualnym rachunku Nabywcy), posiadającym indywidualny numer nadany dla takiego Nabywcy. Na pisemny wniosek Nabywcy [_] z siedzibą w [_], przekaże Nabywcy informację dotyczącą wpłat i wypłat zaewidencjonowanych na przypisanym do niego subkoncie Nabywcy. </w:t>
            </w:r>
          </w:p>
          <w:p w14:paraId="5F684006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3D6D1586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Główne zasady funkcjonowania otwartego rachunku powierniczego określa ustawa z dnia 20 maja 2021 r. o ochronie praw nabywcy lokalu mieszkalnego lub domu jednorodzinnego (m. in. art. 6- 14 ustawy). </w:t>
            </w:r>
          </w:p>
          <w:p w14:paraId="1CDF8C60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4718F86B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Dyspozycja wypłaty środków pieniężnych zgromadzonych na OMRP będzie realizowana po stwierdzeniu przez [_] z siedzibą w [_] na podstawie kontroli zakończenia danego etapu realizacji Przedsięwzięcia deweloperskiego w odniesieniu do harmonogramu i zgodnie z Umową Deweloperską. Przed wypłatą środków pieniężnych zgromadzonych na rachunku [_] dokona kontroli zakończenia etapu realizacji przedsięwzięcia deweloperskiego wskazanego w dyspozycji wypłaty. Kontrola polega w szczególności na inspekcji placu budowy oraz sprawdzeniu w dzienniku budowy udokumentowania zakończenia realizacji danego etapu przedsięwzięcia deweloperskiego. W trakcie weryfikacji [_] z siedzibą w [_] ma prawo wglądu do rachunków bankowych dewelopera oraz </w:t>
            </w:r>
            <w:r w:rsidRPr="00854676">
              <w:rPr>
                <w:color w:val="000000"/>
                <w:sz w:val="20"/>
                <w:szCs w:val="20"/>
              </w:rPr>
              <w:lastRenderedPageBreak/>
              <w:t>kontroli dokumentacji w zakresie dotyczącym przedsięwzięcia deweloperskiego.</w:t>
            </w:r>
          </w:p>
          <w:p w14:paraId="23FF0DE5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AC4C8AF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Wypłata środków z OMRP następuje na podstawie dyspozycji Dewelopera</w:t>
            </w:r>
            <w:r w:rsidRPr="00854676">
              <w:rPr>
                <w:color w:val="000000"/>
              </w:rPr>
              <w:t xml:space="preserve"> </w:t>
            </w:r>
            <w:r w:rsidRPr="00854676">
              <w:rPr>
                <w:color w:val="000000"/>
                <w:sz w:val="20"/>
                <w:szCs w:val="20"/>
              </w:rPr>
              <w:t>przy czym każda dyspozycja podlega kontroli i zatwierdzeniu pod względem rzeczowym i finansowym.</w:t>
            </w:r>
            <w:r w:rsidRPr="00854676">
              <w:rPr>
                <w:color w:val="000000"/>
              </w:rPr>
              <w:t xml:space="preserve"> </w:t>
            </w:r>
            <w:r w:rsidRPr="00854676">
              <w:rPr>
                <w:color w:val="000000"/>
                <w:sz w:val="20"/>
                <w:szCs w:val="20"/>
              </w:rPr>
              <w:t>Po uzyskaniu przez Dewelopera ostatecznej decyzji o pozwoleniu na</w:t>
            </w:r>
          </w:p>
          <w:p w14:paraId="3A53A7C8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użytkowanie budynku dyspozycje wypłaty środków nie będą podlegały kontroli pod kątem rzeczowym i finansowym.</w:t>
            </w:r>
          </w:p>
          <w:p w14:paraId="36588510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7CF595BE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Wypłata środków następuje poprzez wypłaty z subkont Nabywców zgodnie z mechanizmem wskazanym w zawartej z [_] Umowie mieszkaniowego rachunku powierniczego dla dewelopera.</w:t>
            </w:r>
          </w:p>
          <w:p w14:paraId="747E9F8B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[_] wypłaci pieniądze Deweloperowi jedynie w sytuacji gdy: </w:t>
            </w:r>
          </w:p>
          <w:p w14:paraId="38BB8BB6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DEB9478" w14:textId="77777777" w:rsidR="003B3790" w:rsidRPr="00854676" w:rsidRDefault="00A401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wykona on dany etap przedsięwzięcia deweloperskiego, którego dotyczy dyspozycja wypłaty z rachunku</w:t>
            </w:r>
          </w:p>
          <w:p w14:paraId="21AB80C9" w14:textId="77777777" w:rsidR="003B3790" w:rsidRPr="00854676" w:rsidRDefault="00A401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posiada ważne pozwolenie na budowę,</w:t>
            </w:r>
          </w:p>
          <w:p w14:paraId="4B78538B" w14:textId="77777777" w:rsidR="003B3790" w:rsidRPr="00854676" w:rsidRDefault="00A401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generalny wykonawca nie przerwał robót budowlanych,</w:t>
            </w:r>
          </w:p>
          <w:p w14:paraId="6229E1FF" w14:textId="77777777" w:rsidR="003B3790" w:rsidRPr="00854676" w:rsidRDefault="00A401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nie został złożony wniosek o ogłoszenie upadłości lub wszczęcie postępowania naprawczego właściciela rachunku</w:t>
            </w:r>
          </w:p>
          <w:p w14:paraId="7BCFE00E" w14:textId="77777777" w:rsidR="003B3790" w:rsidRPr="00854676" w:rsidRDefault="00A401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informacje kierowane do [_] na temat sytuacji właściciela rachunku i prowadzonych prac budowlanych są całkowicie wiarygodne</w:t>
            </w:r>
          </w:p>
          <w:p w14:paraId="70D372EB" w14:textId="77777777" w:rsidR="003B3790" w:rsidRPr="00854676" w:rsidRDefault="00A401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dyspozycja przekazania pieniędzy złożona przez dewelopera lub spółdzielnie, jest zgodna w treści i formie, z postanowieniami umowy rachunku (nie ma wątpliwości natury formalno-prawnej)</w:t>
            </w:r>
          </w:p>
          <w:p w14:paraId="7AEC88B2" w14:textId="77777777" w:rsidR="003B3790" w:rsidRPr="00854676" w:rsidRDefault="00A401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przedsięwzięcie deweloperskie prowadzone jest zgodnie z projektem budowlanym załączonym do pozwolenia na budowę lub zawartą z wykonawcą umową.</w:t>
            </w:r>
          </w:p>
          <w:p w14:paraId="5F450115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14:paraId="75477C89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Główne zasady wypłaty środków z otwartego rachunku powierniczego określa ustawa z dnia 20 maja 2021 r. o ochronie praw nabywcy lokalu mieszkalnego lub domu jednorodzinnego (art. 15-19 ustawy). </w:t>
            </w:r>
          </w:p>
          <w:p w14:paraId="528181EA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4D61C872" w14:textId="77777777" w:rsidR="003B3790" w:rsidRPr="009B1385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  <w:r w:rsidRPr="00854676">
              <w:rPr>
                <w:color w:val="000000"/>
                <w:sz w:val="20"/>
                <w:szCs w:val="20"/>
              </w:rPr>
              <w:t>Środki zgromadzone na OMPR nie są oprocentowane.</w:t>
            </w:r>
          </w:p>
        </w:tc>
      </w:tr>
      <w:tr w:rsidR="003B3790" w14:paraId="193780D0" w14:textId="77777777">
        <w:trPr>
          <w:trHeight w:val="978"/>
        </w:trPr>
        <w:tc>
          <w:tcPr>
            <w:tcW w:w="2811" w:type="dxa"/>
            <w:shd w:val="clear" w:color="auto" w:fill="F3F3F3"/>
          </w:tcPr>
          <w:p w14:paraId="123FFA6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Nazwa instytucji zapewniającej bezpieczeństwo środków nabywcy</w:t>
            </w:r>
          </w:p>
        </w:tc>
        <w:tc>
          <w:tcPr>
            <w:tcW w:w="6774" w:type="dxa"/>
            <w:gridSpan w:val="4"/>
          </w:tcPr>
          <w:p w14:paraId="3B752C7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Śląski Bank Spółdzielczy Silesia w  Katowicach</w:t>
            </w:r>
          </w:p>
        </w:tc>
      </w:tr>
      <w:tr w:rsidR="003B3790" w14:paraId="702EF1A6" w14:textId="77777777">
        <w:trPr>
          <w:trHeight w:val="108"/>
        </w:trPr>
        <w:tc>
          <w:tcPr>
            <w:tcW w:w="2811" w:type="dxa"/>
            <w:vMerge w:val="restart"/>
            <w:shd w:val="clear" w:color="auto" w:fill="F3F3F3"/>
          </w:tcPr>
          <w:p w14:paraId="6E02ACBF" w14:textId="77777777" w:rsidR="00262D71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Harmonogram przedsięwzięcia deweloperskiego lub zadania inwestycyjnego</w:t>
            </w:r>
          </w:p>
          <w:p w14:paraId="49AA93FF" w14:textId="3BA2C23F" w:rsidR="00687D49" w:rsidRDefault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93"/>
              <w:rPr>
                <w:color w:val="000000"/>
                <w:sz w:val="20"/>
                <w:szCs w:val="20"/>
              </w:rPr>
            </w:pPr>
          </w:p>
          <w:p w14:paraId="01556C28" w14:textId="3CE5744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93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4522DDA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Etap</w:t>
            </w:r>
          </w:p>
        </w:tc>
        <w:tc>
          <w:tcPr>
            <w:tcW w:w="3827" w:type="dxa"/>
            <w:gridSpan w:val="2"/>
          </w:tcPr>
          <w:p w14:paraId="659EF097" w14:textId="77777777" w:rsidR="003B3790" w:rsidRPr="00262D71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62D71">
              <w:rPr>
                <w:sz w:val="20"/>
                <w:szCs w:val="20"/>
              </w:rPr>
              <w:t>Zakres etapu</w:t>
            </w:r>
          </w:p>
        </w:tc>
        <w:tc>
          <w:tcPr>
            <w:tcW w:w="1985" w:type="dxa"/>
          </w:tcPr>
          <w:p w14:paraId="1D80C5B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Procentowy podział kosztów etapów</w:t>
            </w:r>
          </w:p>
        </w:tc>
      </w:tr>
      <w:tr w:rsidR="00687D49" w14:paraId="7F8E3585" w14:textId="77777777">
        <w:trPr>
          <w:trHeight w:val="108"/>
        </w:trPr>
        <w:tc>
          <w:tcPr>
            <w:tcW w:w="2811" w:type="dxa"/>
            <w:vMerge/>
            <w:shd w:val="clear" w:color="auto" w:fill="F3F3F3"/>
          </w:tcPr>
          <w:p w14:paraId="53F94F29" w14:textId="77777777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3B2B62E1" w14:textId="77777777" w:rsidR="00687D49" w:rsidRPr="00262D71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62D71">
              <w:rPr>
                <w:sz w:val="20"/>
                <w:szCs w:val="20"/>
              </w:rPr>
              <w:t>ETAP 1</w:t>
            </w:r>
          </w:p>
          <w:p w14:paraId="3AF6354A" w14:textId="77777777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</w:p>
          <w:p w14:paraId="40BA0F82" w14:textId="77777777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</w:p>
          <w:p w14:paraId="65013DB5" w14:textId="77777777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</w:p>
          <w:p w14:paraId="345FA38C" w14:textId="4AEAB317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</w:p>
          <w:p w14:paraId="28E55BBD" w14:textId="77777777" w:rsidR="00262D71" w:rsidRDefault="00262D71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</w:p>
          <w:p w14:paraId="1E5EBA6D" w14:textId="6157965E" w:rsidR="00687D49" w:rsidRPr="00F17CDB" w:rsidRDefault="00262D71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17CDB">
              <w:rPr>
                <w:bCs/>
                <w:color w:val="000000"/>
                <w:sz w:val="20"/>
                <w:szCs w:val="20"/>
              </w:rPr>
              <w:t>ETAP 2</w:t>
            </w:r>
            <w:r w:rsidR="00687D49" w:rsidRPr="00F17CDB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2E735D1C" w14:textId="77777777" w:rsidR="00687D49" w:rsidRPr="00262D71" w:rsidRDefault="00687D49" w:rsidP="00687D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sz w:val="20"/>
                <w:szCs w:val="20"/>
              </w:rPr>
            </w:pPr>
            <w:r w:rsidRPr="00262D71">
              <w:rPr>
                <w:sz w:val="20"/>
                <w:szCs w:val="20"/>
              </w:rPr>
              <w:t>Zakup gruntów</w:t>
            </w:r>
          </w:p>
          <w:p w14:paraId="1AC7D503" w14:textId="77777777" w:rsidR="00687D49" w:rsidRPr="00262D71" w:rsidRDefault="00687D49" w:rsidP="00687D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sz w:val="20"/>
                <w:szCs w:val="20"/>
              </w:rPr>
            </w:pPr>
            <w:r w:rsidRPr="00262D71">
              <w:rPr>
                <w:sz w:val="20"/>
                <w:szCs w:val="20"/>
              </w:rPr>
              <w:t>Analiza stanu prawnego (</w:t>
            </w:r>
            <w:proofErr w:type="spellStart"/>
            <w:r w:rsidRPr="00262D71">
              <w:rPr>
                <w:i/>
                <w:iCs/>
                <w:sz w:val="20"/>
                <w:szCs w:val="20"/>
              </w:rPr>
              <w:t>due</w:t>
            </w:r>
            <w:proofErr w:type="spellEnd"/>
            <w:r w:rsidRPr="00262D71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2D71">
              <w:rPr>
                <w:i/>
                <w:iCs/>
                <w:sz w:val="20"/>
                <w:szCs w:val="20"/>
              </w:rPr>
              <w:t>diligence</w:t>
            </w:r>
            <w:proofErr w:type="spellEnd"/>
            <w:r w:rsidRPr="00262D71">
              <w:rPr>
                <w:sz w:val="20"/>
                <w:szCs w:val="20"/>
              </w:rPr>
              <w:t>)</w:t>
            </w:r>
          </w:p>
          <w:p w14:paraId="7F43A5C2" w14:textId="77777777" w:rsidR="00687D49" w:rsidRPr="00262D71" w:rsidRDefault="00687D49" w:rsidP="00687D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sz w:val="20"/>
                <w:szCs w:val="20"/>
              </w:rPr>
            </w:pPr>
            <w:r w:rsidRPr="00262D71">
              <w:rPr>
                <w:sz w:val="20"/>
                <w:szCs w:val="20"/>
              </w:rPr>
              <w:t>Sporządzenie koncepcji architektonicznej i map do celów projektowych</w:t>
            </w:r>
          </w:p>
          <w:p w14:paraId="7C45BB17" w14:textId="77777777" w:rsidR="00262D71" w:rsidRPr="00262D71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 w:rsidRPr="00262D71">
              <w:rPr>
                <w:b/>
                <w:bCs/>
                <w:sz w:val="20"/>
                <w:szCs w:val="20"/>
              </w:rPr>
              <w:t xml:space="preserve">Zakończenie 31 grudnia 2024 r. </w:t>
            </w:r>
          </w:p>
          <w:p w14:paraId="6DDAB6D9" w14:textId="77777777" w:rsidR="00262D71" w:rsidRPr="00262D71" w:rsidRDefault="00262D71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</w:p>
          <w:p w14:paraId="3F0AAFFC" w14:textId="2E609E2D" w:rsidR="00687D49" w:rsidRPr="00F17CDB" w:rsidRDefault="00262D71" w:rsidP="00262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17CDB">
              <w:rPr>
                <w:bCs/>
                <w:sz w:val="20"/>
                <w:szCs w:val="20"/>
              </w:rPr>
              <w:t xml:space="preserve">1. </w:t>
            </w:r>
            <w:r w:rsidR="00687D49" w:rsidRPr="00F17CDB">
              <w:rPr>
                <w:bCs/>
                <w:sz w:val="20"/>
                <w:szCs w:val="20"/>
              </w:rPr>
              <w:t xml:space="preserve">Przygotowanie inwestycji w tym pracowanie pełnego projektu budowlanego </w:t>
            </w:r>
          </w:p>
          <w:p w14:paraId="180E3C74" w14:textId="7D06AD46" w:rsidR="00687D49" w:rsidRPr="00F17CDB" w:rsidRDefault="00262D71" w:rsidP="00262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17CDB">
              <w:rPr>
                <w:bCs/>
                <w:sz w:val="20"/>
                <w:szCs w:val="20"/>
              </w:rPr>
              <w:t xml:space="preserve">2. </w:t>
            </w:r>
            <w:r w:rsidR="00687D49" w:rsidRPr="00F17CDB">
              <w:rPr>
                <w:bCs/>
                <w:sz w:val="20"/>
                <w:szCs w:val="20"/>
              </w:rPr>
              <w:t>Uzyskanie ostatecznej decyzji o pozwoleniu na budowę.</w:t>
            </w:r>
          </w:p>
          <w:p w14:paraId="3B87A3FC" w14:textId="3EF8DC89" w:rsidR="00687D49" w:rsidRPr="00262D71" w:rsidRDefault="00687D49" w:rsidP="00262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62D71">
              <w:rPr>
                <w:b/>
                <w:bCs/>
                <w:sz w:val="20"/>
                <w:szCs w:val="20"/>
              </w:rPr>
              <w:t>Zakończenie 21 marca 2025 r</w:t>
            </w:r>
            <w:r w:rsidR="00262D71" w:rsidRPr="00262D7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7CB6F5E" w14:textId="1FEC38C9" w:rsidR="00687D49" w:rsidRDefault="00783C6F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687D49">
              <w:rPr>
                <w:color w:val="000000"/>
                <w:sz w:val="20"/>
                <w:szCs w:val="20"/>
              </w:rPr>
              <w:t>%</w:t>
            </w:r>
          </w:p>
          <w:p w14:paraId="2E5435EB" w14:textId="6287CEF1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F1ACFCA" w14:textId="14CCB005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B897175" w14:textId="240DCC4A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062F6EB" w14:textId="442A07EB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24BE9B9C" w14:textId="77777777" w:rsidR="00262D71" w:rsidRDefault="00262D71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1B7EA02F" w14:textId="02EF0135" w:rsidR="00687D49" w:rsidRDefault="00783C6F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20%</w:t>
            </w:r>
          </w:p>
          <w:p w14:paraId="10A70DCD" w14:textId="77777777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06165D9" w14:textId="77777777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3793CF2" w14:textId="0ADA7855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A46FB50" w14:textId="77777777" w:rsidR="00262D71" w:rsidRDefault="00262D71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5DAAE132" w14:textId="78DC38BA" w:rsidR="00687D49" w:rsidRDefault="00687D49" w:rsidP="00687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3790" w14:paraId="2F79E232" w14:textId="77777777">
        <w:trPr>
          <w:trHeight w:val="108"/>
        </w:trPr>
        <w:tc>
          <w:tcPr>
            <w:tcW w:w="2811" w:type="dxa"/>
            <w:vMerge/>
            <w:shd w:val="clear" w:color="auto" w:fill="F3F3F3"/>
          </w:tcPr>
          <w:p w14:paraId="0DA820E9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06034C36" w14:textId="33A527E9" w:rsidR="003B3790" w:rsidRDefault="00F17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ETAP 3</w:t>
            </w:r>
            <w:r w:rsidR="00A401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478F649F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9" w:hanging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Zagospodarowanie placu budowy</w:t>
            </w:r>
          </w:p>
          <w:p w14:paraId="6313F9A8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Ogrodzenie terenu budowy, montaż zaplecza socjalnego</w:t>
            </w:r>
          </w:p>
          <w:p w14:paraId="105D9054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Rozpoczęcie prac budowlanych</w:t>
            </w:r>
          </w:p>
          <w:p w14:paraId="7076A860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stropów żelbetonowych po likwidacji dwóch istniejących klatek schodowych - zaawansowanie 50%</w:t>
            </w:r>
          </w:p>
          <w:p w14:paraId="13265E1E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Wykonanie nowej klatki schodowej w konstrukcji żelbetonowej - zaawansowanie </w:t>
            </w:r>
            <w:r>
              <w:rPr>
                <w:color w:val="000000"/>
                <w:sz w:val="20"/>
                <w:szCs w:val="20"/>
              </w:rPr>
              <w:lastRenderedPageBreak/>
              <w:t>50%</w:t>
            </w:r>
          </w:p>
          <w:p w14:paraId="41F56676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Budowa szybu windy</w:t>
            </w:r>
          </w:p>
          <w:p w14:paraId="7E68943B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instalacji sanitarnej, elektro technicznej, wentylacji i centralnego ogrzewania - zaawansowanie 15%</w:t>
            </w:r>
          </w:p>
          <w:p w14:paraId="0D0B93B2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Naprawa i wzmocnienie istniejących stropów drewnianych i wypełnienie </w:t>
            </w:r>
            <w:proofErr w:type="spellStart"/>
            <w:r>
              <w:rPr>
                <w:color w:val="000000"/>
                <w:sz w:val="20"/>
                <w:szCs w:val="20"/>
              </w:rPr>
              <w:t>styrobetonem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14:paraId="102DDBAC" w14:textId="77777777" w:rsidR="003B3790" w:rsidRDefault="00A401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Demontaż istniejącego dachu i budowa nowego – zaawansowanie 30%</w:t>
            </w:r>
          </w:p>
          <w:p w14:paraId="4A511E50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0"/>
                <w:szCs w:val="20"/>
              </w:rPr>
            </w:pPr>
          </w:p>
          <w:p w14:paraId="2504D22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Planowany termin zakończenia do 31 sierpnia 2025 r. </w:t>
            </w:r>
          </w:p>
        </w:tc>
        <w:tc>
          <w:tcPr>
            <w:tcW w:w="1985" w:type="dxa"/>
          </w:tcPr>
          <w:p w14:paraId="450016D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15%</w:t>
            </w:r>
          </w:p>
        </w:tc>
      </w:tr>
      <w:tr w:rsidR="003B3790" w14:paraId="51EF0109" w14:textId="77777777">
        <w:trPr>
          <w:trHeight w:val="108"/>
        </w:trPr>
        <w:tc>
          <w:tcPr>
            <w:tcW w:w="2811" w:type="dxa"/>
            <w:vMerge/>
            <w:shd w:val="clear" w:color="auto" w:fill="F3F3F3"/>
          </w:tcPr>
          <w:p w14:paraId="71E75DB2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54026515" w14:textId="1CC2D348" w:rsidR="003B3790" w:rsidRDefault="00F17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ETAP 4</w:t>
            </w:r>
          </w:p>
        </w:tc>
        <w:tc>
          <w:tcPr>
            <w:tcW w:w="3827" w:type="dxa"/>
            <w:gridSpan w:val="2"/>
          </w:tcPr>
          <w:p w14:paraId="7AECB45C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Wykonanie stropów żelbetonowych po likwidacji dwóch istniejących klatkach schodowych - zaawansowanie 50%</w:t>
            </w:r>
          </w:p>
          <w:p w14:paraId="65D0368A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nowej klatki schodowej w konstrukcji żelbetonowej – zaawansowanie50 %</w:t>
            </w:r>
          </w:p>
          <w:p w14:paraId="7FC9358E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instalacji sanitarnej, elektro-technicznej, wentylacji i centralnego ogrzewania - zaawansowanie 25%</w:t>
            </w:r>
          </w:p>
          <w:p w14:paraId="6518783A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płyty żelbetonowej na stropach drewnianych i stropach ceramicznych parteru – zaawansowanie 10%</w:t>
            </w:r>
          </w:p>
          <w:p w14:paraId="76C93BC8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Ściany wewnętrzne działowe – zaawansowanie 10%</w:t>
            </w:r>
          </w:p>
          <w:p w14:paraId="21076B62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Wykonanie płyty żelbetonowej w piwnicy, </w:t>
            </w:r>
          </w:p>
          <w:p w14:paraId="34AF4EAB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Stolarka okienna – zaawansowanie 15%</w:t>
            </w:r>
          </w:p>
          <w:p w14:paraId="4469B536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Stolarka drzwiowa – zaawansowanie 10%</w:t>
            </w:r>
          </w:p>
          <w:p w14:paraId="2659B036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elewacji zabytkowej – zaawansowanie 40%</w:t>
            </w:r>
          </w:p>
          <w:p w14:paraId="59C9C80E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Demontaż istniejącego dachu i budowa nowego – zaawansowanie 70%</w:t>
            </w:r>
          </w:p>
          <w:p w14:paraId="2D0CA305" w14:textId="77777777" w:rsidR="003B3790" w:rsidRDefault="00A401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Tynki wewnętrzne – zaawansowanie 15%</w:t>
            </w:r>
          </w:p>
          <w:p w14:paraId="58D6B9C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rPr>
                <w:color w:val="000000"/>
                <w:sz w:val="20"/>
                <w:szCs w:val="20"/>
              </w:rPr>
            </w:pPr>
          </w:p>
          <w:p w14:paraId="40A2D62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Planowany termin zakończenia do 30 listopada 2025 r. </w:t>
            </w:r>
          </w:p>
        </w:tc>
        <w:tc>
          <w:tcPr>
            <w:tcW w:w="1985" w:type="dxa"/>
          </w:tcPr>
          <w:p w14:paraId="41FE402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10%</w:t>
            </w:r>
          </w:p>
        </w:tc>
      </w:tr>
      <w:tr w:rsidR="003B3790" w14:paraId="47246CB1" w14:textId="77777777">
        <w:trPr>
          <w:trHeight w:val="108"/>
        </w:trPr>
        <w:tc>
          <w:tcPr>
            <w:tcW w:w="2811" w:type="dxa"/>
            <w:vMerge/>
            <w:shd w:val="clear" w:color="auto" w:fill="F3F3F3"/>
          </w:tcPr>
          <w:p w14:paraId="5907A84F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15D0CA13" w14:textId="0F02A084" w:rsidR="003B3790" w:rsidRDefault="00F17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ETAP 5</w:t>
            </w:r>
          </w:p>
        </w:tc>
        <w:tc>
          <w:tcPr>
            <w:tcW w:w="3827" w:type="dxa"/>
            <w:gridSpan w:val="2"/>
          </w:tcPr>
          <w:p w14:paraId="05E4F98C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instalacji sanitarnej, elektro-technicznej, wentylacji i centralnego ogrzewania - zaawansowanie 40%</w:t>
            </w:r>
          </w:p>
          <w:p w14:paraId="3C461DA4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płyty żelbetonowej na stropach drewnianych i stropach ceramicznych parteru – zaawansowanie 90%,</w:t>
            </w:r>
          </w:p>
          <w:p w14:paraId="68EBF5BE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Ściany wewnętrzne działowe – zaawansowanie 90%,</w:t>
            </w:r>
          </w:p>
          <w:p w14:paraId="3F3F59B5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Stolarka okienna – zaawansowanie 55%</w:t>
            </w:r>
          </w:p>
          <w:p w14:paraId="7C614CDE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Stolarka drzwiowa – zaawansowanie 30%</w:t>
            </w:r>
          </w:p>
          <w:p w14:paraId="3BCED1DE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elewacji zabytkowej – zaawansowanie 40%</w:t>
            </w:r>
          </w:p>
          <w:p w14:paraId="0855F6D0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elewacji od ogrodu – zaawansowanie 50%</w:t>
            </w:r>
          </w:p>
          <w:p w14:paraId="64EA2FC6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Tynki wewnętrzne – zaawansowanie 85%</w:t>
            </w:r>
          </w:p>
          <w:p w14:paraId="0737B133" w14:textId="77777777" w:rsidR="003B3790" w:rsidRDefault="00A401C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Izolacja termiczna od wewnątrz budynku i inne prace wykończeniowe – zaawansowanie 60%</w:t>
            </w:r>
          </w:p>
          <w:p w14:paraId="7E95A513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DEAC8E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Planowany termin zakończenia do 28 lutego 2026 r. </w:t>
            </w:r>
          </w:p>
        </w:tc>
        <w:tc>
          <w:tcPr>
            <w:tcW w:w="1985" w:type="dxa"/>
          </w:tcPr>
          <w:p w14:paraId="432A41A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15%</w:t>
            </w:r>
          </w:p>
        </w:tc>
      </w:tr>
      <w:tr w:rsidR="003B3790" w14:paraId="66E3D4FC" w14:textId="77777777">
        <w:trPr>
          <w:trHeight w:val="108"/>
        </w:trPr>
        <w:tc>
          <w:tcPr>
            <w:tcW w:w="2811" w:type="dxa"/>
            <w:vMerge/>
            <w:shd w:val="clear" w:color="auto" w:fill="F3F3F3"/>
          </w:tcPr>
          <w:p w14:paraId="5B6AACC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2673060B" w14:textId="2AF32BF0" w:rsidR="003B3790" w:rsidRDefault="00F17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ETAP 6</w:t>
            </w:r>
          </w:p>
        </w:tc>
        <w:tc>
          <w:tcPr>
            <w:tcW w:w="3827" w:type="dxa"/>
            <w:gridSpan w:val="2"/>
          </w:tcPr>
          <w:p w14:paraId="25BB8CDE" w14:textId="77777777" w:rsidR="003B3790" w:rsidRDefault="00A401C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Wykonanie instalacji sanitarnej, elektro-technicznej, wentylacji i centralnego ogrzewania  – zaawansowanie 20%,</w:t>
            </w:r>
          </w:p>
          <w:p w14:paraId="2717F552" w14:textId="77777777" w:rsidR="003B3790" w:rsidRDefault="00A401C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Stolarka okienna – zaawansowanie 30%</w:t>
            </w:r>
          </w:p>
          <w:p w14:paraId="5D2B0801" w14:textId="77777777" w:rsidR="003B3790" w:rsidRDefault="00A401C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Stolarka drzwiowa – zaawansowanie robót 60%</w:t>
            </w:r>
          </w:p>
          <w:p w14:paraId="56DEF790" w14:textId="77777777" w:rsidR="003B3790" w:rsidRDefault="00A401C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Wykonanie elewacji zabytkowej – zaawansowanie 20%,</w:t>
            </w:r>
          </w:p>
          <w:p w14:paraId="42CC2A0D" w14:textId="77777777" w:rsidR="003B3790" w:rsidRDefault="00A40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Wykonanie elewacji od ogrodu – zaawansowanie 50%,</w:t>
            </w:r>
          </w:p>
          <w:p w14:paraId="2D760D4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Zagospodarowanie terenu, zakończenie wszystkich robót wpisem Kierownika budowy do dziennika Budowy </w:t>
            </w:r>
          </w:p>
          <w:p w14:paraId="24E89E2F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B0943CC" w14:textId="5470C7A4" w:rsidR="003B3790" w:rsidRDefault="00A401C9" w:rsidP="003828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</w:t>
            </w:r>
            <w:r w:rsidR="003828F9">
              <w:rPr>
                <w:b/>
                <w:bCs/>
                <w:color w:val="000000"/>
                <w:sz w:val="20"/>
                <w:szCs w:val="20"/>
              </w:rPr>
              <w:t xml:space="preserve">lanowany termin zakończenia do </w:t>
            </w: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3828F9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828F9">
              <w:rPr>
                <w:b/>
                <w:bCs/>
                <w:color w:val="000000"/>
                <w:sz w:val="20"/>
                <w:szCs w:val="20"/>
              </w:rPr>
              <w:t>październik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2026 r. </w:t>
            </w:r>
          </w:p>
        </w:tc>
        <w:tc>
          <w:tcPr>
            <w:tcW w:w="1985" w:type="dxa"/>
          </w:tcPr>
          <w:p w14:paraId="7D7AB0F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10%</w:t>
            </w:r>
          </w:p>
        </w:tc>
      </w:tr>
      <w:tr w:rsidR="003B3790" w14:paraId="00907514" w14:textId="77777777">
        <w:trPr>
          <w:trHeight w:val="108"/>
        </w:trPr>
        <w:tc>
          <w:tcPr>
            <w:tcW w:w="2811" w:type="dxa"/>
            <w:vMerge/>
            <w:shd w:val="clear" w:color="auto" w:fill="F3F3F3"/>
          </w:tcPr>
          <w:p w14:paraId="4D6EBF0F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</w:tcPr>
          <w:p w14:paraId="2CA4716D" w14:textId="1D0998E8" w:rsidR="003B3790" w:rsidRDefault="00F17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ETAP </w:t>
            </w:r>
          </w:p>
        </w:tc>
        <w:tc>
          <w:tcPr>
            <w:tcW w:w="3827" w:type="dxa"/>
            <w:gridSpan w:val="2"/>
          </w:tcPr>
          <w:p w14:paraId="3BA0274F" w14:textId="77777777" w:rsidR="003B3790" w:rsidRDefault="00A401C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Odbiory</w:t>
            </w:r>
          </w:p>
          <w:p w14:paraId="0A10CAD5" w14:textId="77777777" w:rsidR="003B3790" w:rsidRDefault="00A401C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2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Uzyskanie pozwolenia na użytkowanie </w:t>
            </w:r>
          </w:p>
          <w:p w14:paraId="41420BA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DC5909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Planowany termin zakończenia do 31 stycznia 2027 r. </w:t>
            </w:r>
          </w:p>
        </w:tc>
        <w:tc>
          <w:tcPr>
            <w:tcW w:w="1985" w:type="dxa"/>
          </w:tcPr>
          <w:p w14:paraId="3F49781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10%</w:t>
            </w:r>
          </w:p>
        </w:tc>
      </w:tr>
      <w:tr w:rsidR="003B3790" w14:paraId="16BFA251" w14:textId="77777777">
        <w:trPr>
          <w:trHeight w:val="979"/>
        </w:trPr>
        <w:tc>
          <w:tcPr>
            <w:tcW w:w="2811" w:type="dxa"/>
            <w:shd w:val="clear" w:color="auto" w:fill="F3F3F3"/>
          </w:tcPr>
          <w:p w14:paraId="40E843A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7" w:right="55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Dopuszczenie waloryzacji ceny oraz określenie zasad waloryzacji</w:t>
            </w:r>
          </w:p>
        </w:tc>
        <w:tc>
          <w:tcPr>
            <w:tcW w:w="6774" w:type="dxa"/>
            <w:gridSpan w:val="4"/>
          </w:tcPr>
          <w:p w14:paraId="2977364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Deweloper wyjaśnia, że podane ceny zawierają podatek od towarów i usług w wysokości zgodnej z przepisami obowiązującymi w dniu zawarcia umowy. W przypadku zmiany ustawy o podatku od towarów i usług w zakresie stawek podatku VAT, cena ulegnie proporcjonalnie zmianie. </w:t>
            </w:r>
          </w:p>
          <w:p w14:paraId="5D6A2F5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4DA6E58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Jeżeli z dokumentacji powykonawczej wynikać będzie, iż łączna powierzchnia użytkowa lokalu ulegnie zmniejszeniu bądź zwiększeniu o więcej niż 2%, to cena sprzedaży ulegnie zmianie w</w:t>
            </w:r>
            <w:bookmarkStart w:id="1" w:name="_GoBack"/>
            <w:bookmarkEnd w:id="1"/>
            <w:r>
              <w:rPr>
                <w:color w:val="000000"/>
                <w:sz w:val="20"/>
                <w:szCs w:val="20"/>
              </w:rPr>
              <w:t xml:space="preserve"> ten sposób, że będzie ona stanowiła iloczyn ostatecznej powierzchni lokalu oraz ceny brutto metra kwadratowego przyjętej w umowie deweloperskiej.</w:t>
            </w:r>
          </w:p>
        </w:tc>
      </w:tr>
    </w:tbl>
    <w:p w14:paraId="50C2BB17" w14:textId="77777777" w:rsidR="003B3790" w:rsidRDefault="003B3790">
      <w:pPr>
        <w:rPr>
          <w:sz w:val="18"/>
          <w:szCs w:val="18"/>
        </w:rPr>
        <w:sectPr w:rsidR="003B3790">
          <w:pgSz w:w="11910" w:h="16840"/>
          <w:pgMar w:top="1200" w:right="900" w:bottom="280" w:left="800" w:header="974" w:footer="0" w:gutter="0"/>
          <w:cols w:space="708"/>
        </w:sectPr>
      </w:pPr>
    </w:p>
    <w:p w14:paraId="59904E00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91"/>
        <w:rPr>
          <w:color w:val="000000"/>
          <w:sz w:val="2"/>
          <w:szCs w:val="2"/>
        </w:rPr>
      </w:pPr>
    </w:p>
    <w:p w14:paraId="100D3E61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1"/>
          <w:szCs w:val="21"/>
        </w:rPr>
      </w:pPr>
    </w:p>
    <w:tbl>
      <w:tblPr>
        <w:tblStyle w:val="a8"/>
        <w:tblW w:w="9649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1"/>
        <w:gridCol w:w="6838"/>
      </w:tblGrid>
      <w:tr w:rsidR="003B3790" w14:paraId="22461679" w14:textId="77777777">
        <w:trPr>
          <w:trHeight w:val="1440"/>
        </w:trPr>
        <w:tc>
          <w:tcPr>
            <w:tcW w:w="9649" w:type="dxa"/>
            <w:gridSpan w:val="2"/>
            <w:shd w:val="clear" w:color="auto" w:fill="DFDFDF"/>
          </w:tcPr>
          <w:p w14:paraId="671EC3B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 w:right="95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WARUNKI ODSTĄPIENIA OD UMOWY DEWELOPERSKIEJ LUB UMOWY, O KTÓREJ MOWA W ART. 2 UST. 1 PKT 2, 3 LUB 5 USTAWY Z DNIA 20 MAJA 2021 R. O OCHRONIE PRAW NABYWCY LOKALU MIESZKALNEGO LUB DOMU JEDNORODZINNEGO ORAZ DEWELOPERSKIM FUNDUSZU GWARANCYJNYM</w:t>
            </w:r>
          </w:p>
        </w:tc>
      </w:tr>
      <w:tr w:rsidR="003B3790" w14:paraId="157B32E4" w14:textId="77777777">
        <w:trPr>
          <w:trHeight w:val="1550"/>
        </w:trPr>
        <w:tc>
          <w:tcPr>
            <w:tcW w:w="2811" w:type="dxa"/>
            <w:shd w:val="clear" w:color="auto" w:fill="F3F3F3"/>
          </w:tcPr>
          <w:p w14:paraId="75D8EA22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Warunki, na jakich można odstąpić od umowy deweloperskiej lub jednej z umów,</w:t>
            </w:r>
          </w:p>
          <w:p w14:paraId="1D9B13D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 których mowa w art. 2 ust. 1 pkt 2, 3 lub 5 ustawy z dnia</w:t>
            </w:r>
          </w:p>
          <w:p w14:paraId="6153D6F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maja 2021 r. o ochronie praw nabywcy lokalu mieszkalnego lub domu jednorodzinnego oraz Deweloperskim Funduszu Gwarancyjnym</w:t>
            </w:r>
          </w:p>
        </w:tc>
        <w:tc>
          <w:tcPr>
            <w:tcW w:w="6838" w:type="dxa"/>
          </w:tcPr>
          <w:p w14:paraId="686AE21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Zgodnie z art. 43 ustawy </w:t>
            </w:r>
            <w:bookmarkStart w:id="2" w:name="bookmark=id.k3avlm20m2an" w:colFirst="0" w:colLast="0"/>
            <w:bookmarkEnd w:id="2"/>
            <w:r>
              <w:rPr>
                <w:color w:val="000000"/>
                <w:sz w:val="20"/>
                <w:szCs w:val="20"/>
              </w:rPr>
              <w:t xml:space="preserve">nabywca ma prawo </w:t>
            </w:r>
            <w:bookmarkStart w:id="3" w:name="bookmark=id.6ipo69j03esm" w:colFirst="0" w:colLast="0"/>
            <w:bookmarkEnd w:id="3"/>
            <w:r>
              <w:rPr>
                <w:color w:val="000000"/>
                <w:sz w:val="20"/>
                <w:szCs w:val="20"/>
              </w:rPr>
              <w:t>odstąpić od umowy deweloperskiej lub jednej z umów, o których mowa w art. 2 ust. 1 pkt 2, 3 lub 5 ustawy (dalej jako „umowa”) w następujących przypadkach:</w:t>
            </w:r>
          </w:p>
          <w:p w14:paraId="676FE803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B24B79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1) jeżeli umowa nie zawiera odpowiednio elementów, o których mowa w art. 35 ustawy, albo elementów, o których mowa w art. 36 ustawy</w:t>
            </w:r>
          </w:p>
          <w:p w14:paraId="5AA5244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4" w:name="bookmark=id.tl5zv0x9me8s" w:colFirst="0" w:colLast="0"/>
            <w:bookmarkEnd w:id="4"/>
            <w:r>
              <w:rPr>
                <w:color w:val="000000"/>
                <w:sz w:val="20"/>
                <w:szCs w:val="20"/>
              </w:rPr>
              <w:t xml:space="preserve">2) jeżeli informacje zawarte w umowie nie są zgodne z informacjami zawartymi w prospekcie informacyjnym lub jego załącznikach, z wyjątkiem zmian, o których mowa w art. 35 ust. 2 ustawy; </w:t>
            </w:r>
          </w:p>
          <w:p w14:paraId="0C6CB51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5" w:name="bookmark=id.3397ag5v4w5p" w:colFirst="0" w:colLast="0"/>
            <w:bookmarkEnd w:id="5"/>
            <w:r>
              <w:rPr>
                <w:color w:val="000000"/>
                <w:sz w:val="20"/>
                <w:szCs w:val="20"/>
              </w:rPr>
              <w:t>3) jeżeli deweloper nie doręczył prospektu informacyjnego wraz z załącznikami lub informacji o zmianie danych lub informacji zawartych w prospekcie informacyjnym lub jego załącznikach;</w:t>
            </w:r>
          </w:p>
          <w:p w14:paraId="416D222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6" w:name="bookmark=id.9q4lsh4dqbat" w:colFirst="0" w:colLast="0"/>
            <w:bookmarkEnd w:id="6"/>
            <w:r>
              <w:rPr>
                <w:color w:val="000000"/>
                <w:sz w:val="20"/>
                <w:szCs w:val="20"/>
              </w:rPr>
              <w:t xml:space="preserve">4) jeżeli dane lub informacje zawarte w prospekcie informacyjnym lub jego załącznikach, na podstawie których zawarto umowę, są niezgodne ze stanem faktycznym lub prawnym w dniu zawarcia umowy; </w:t>
            </w:r>
          </w:p>
          <w:p w14:paraId="12C32AD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7" w:name="bookmark=id.r1m453imxvoj" w:colFirst="0" w:colLast="0"/>
            <w:bookmarkEnd w:id="7"/>
            <w:r>
              <w:rPr>
                <w:color w:val="000000"/>
                <w:sz w:val="20"/>
                <w:szCs w:val="20"/>
              </w:rPr>
              <w:t xml:space="preserve">5) jeżeli prospekt informacyjny, na podstawie którego zawarto umowę, nie zawiera danych lub informacji określonych we wzorze prospektu informacyjnego; </w:t>
            </w:r>
          </w:p>
          <w:p w14:paraId="644F9F05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8" w:name="bookmark=id.ynqf2hnsl6u" w:colFirst="0" w:colLast="0"/>
            <w:bookmarkEnd w:id="8"/>
            <w:r>
              <w:rPr>
                <w:color w:val="000000"/>
                <w:sz w:val="20"/>
                <w:szCs w:val="20"/>
              </w:rPr>
              <w:t xml:space="preserve">6) w przypadku nie przeniesienia na nabywcę praw wynikających z umowy deweloperskiej albo umowy, o której mowa w art. 2 ust. 1 pkt 2, 3 lub 5 ustawy, w terminie wynikającym z tych umów; </w:t>
            </w:r>
          </w:p>
          <w:p w14:paraId="5D947B0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9" w:name="bookmark=id.51n9ig8phay0" w:colFirst="0" w:colLast="0"/>
            <w:bookmarkEnd w:id="9"/>
            <w:r>
              <w:rPr>
                <w:color w:val="000000"/>
                <w:sz w:val="20"/>
                <w:szCs w:val="20"/>
              </w:rPr>
              <w:t>7) w przypadku gdy deweloper nie zawrze umowy mieszkaniowego rachunku powierniczego z innym bankiem w trybie i terminie, o których mowa w art. 10 ust. 1 ustawy;</w:t>
            </w:r>
          </w:p>
          <w:p w14:paraId="243F965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10" w:name="bookmark=id.gjncp2y5ue8x" w:colFirst="0" w:colLast="0"/>
            <w:bookmarkEnd w:id="10"/>
            <w:r>
              <w:rPr>
                <w:color w:val="000000"/>
                <w:sz w:val="20"/>
                <w:szCs w:val="20"/>
              </w:rPr>
              <w:t>8) w przypadku gdy deweloper nie posiada zgody wierzyciela hipotecznego lub zobowiązania do jej udzielenia, o których mowa w art. 25 ust. 1 pkt 1 lub 2 ustawy;</w:t>
            </w:r>
          </w:p>
          <w:p w14:paraId="3676DA8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11" w:name="bookmark=id.ip2zrk8spgoo" w:colFirst="0" w:colLast="0"/>
            <w:bookmarkEnd w:id="11"/>
            <w:r>
              <w:rPr>
                <w:color w:val="000000"/>
                <w:sz w:val="20"/>
                <w:szCs w:val="20"/>
              </w:rPr>
              <w:t>9) w przypadku niewykonania przez dewelopera obowiązku, o którym mowa w art. 12 ust. 2 ustawy, w terminie określonym w tym przepisie;</w:t>
            </w:r>
          </w:p>
          <w:p w14:paraId="08A92D0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12" w:name="bookmark=id.g8i3q7u8qs1n" w:colFirst="0" w:colLast="0"/>
            <w:bookmarkEnd w:id="12"/>
            <w:r>
              <w:rPr>
                <w:color w:val="000000"/>
                <w:sz w:val="20"/>
                <w:szCs w:val="20"/>
              </w:rPr>
              <w:t>10) w przypadku nieusunięcia przez dewelopera wady istotnej lokalu mieszkalnego albo domu jednorodzinnego na zasadach określonych w art. 41 ust. 11 ustawy;</w:t>
            </w:r>
          </w:p>
          <w:p w14:paraId="5D30444C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13" w:name="bookmark=id.6vvmfrhkv9mc" w:colFirst="0" w:colLast="0"/>
            <w:bookmarkEnd w:id="13"/>
            <w:r>
              <w:rPr>
                <w:color w:val="000000"/>
                <w:sz w:val="20"/>
                <w:szCs w:val="20"/>
              </w:rPr>
              <w:t>11) w przypadku stwierdzenia przez rzeczoznawcę istnienia wady istotnej, o którym mowa w art. 41 ust. 15 ustawy;</w:t>
            </w:r>
          </w:p>
          <w:p w14:paraId="1FB8F5A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14" w:name="bookmark=id.qs862auaa43n" w:colFirst="0" w:colLast="0"/>
            <w:bookmarkEnd w:id="14"/>
            <w:r>
              <w:rPr>
                <w:color w:val="000000"/>
                <w:sz w:val="20"/>
                <w:szCs w:val="20"/>
              </w:rPr>
              <w:t>12) jeżeli syndyk zażądał wykonania umowy na podstawie art. 98 ustawy z dnia 28 lutego 2003 r. - Prawo upadłościowe.</w:t>
            </w:r>
          </w:p>
          <w:p w14:paraId="15B49336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B80310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przypadkach, o których mowa w pkt 1-5 powyżej, nabywca ma prawo </w:t>
            </w:r>
            <w:bookmarkStart w:id="15" w:name="bookmark=id.gv4b22k91o6m" w:colFirst="0" w:colLast="0"/>
            <w:bookmarkEnd w:id="15"/>
            <w:r>
              <w:rPr>
                <w:color w:val="000000"/>
                <w:sz w:val="20"/>
                <w:szCs w:val="20"/>
              </w:rPr>
              <w:t>odstąpienia od umowy w terminie 30 dni od dnia jej zawarcia.</w:t>
            </w:r>
          </w:p>
          <w:p w14:paraId="0FE6563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285CF4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16" w:name="bookmark=id.4e2sgu26t50o" w:colFirst="0" w:colLast="0"/>
            <w:bookmarkEnd w:id="16"/>
            <w:r>
              <w:rPr>
                <w:color w:val="000000"/>
                <w:sz w:val="20"/>
                <w:szCs w:val="20"/>
              </w:rPr>
              <w:t xml:space="preserve">W przypadku, o którym mowa w pkt 6 powyżej, przed skorzystaniem z prawa do </w:t>
            </w:r>
            <w:bookmarkStart w:id="17" w:name="bookmark=id.9drdhbnaz7qn" w:colFirst="0" w:colLast="0"/>
            <w:bookmarkEnd w:id="17"/>
            <w:r>
              <w:rPr>
                <w:color w:val="000000"/>
                <w:sz w:val="20"/>
                <w:szCs w:val="20"/>
              </w:rPr>
              <w:t xml:space="preserve">odstąpienia od umowy nabywca wyznacza deweloperowi 120-dniowy termin na przeniesienie praw wynikających z umowy, a w razie bezskutecznego upływu wyznaczonego terminu jest uprawniony do </w:t>
            </w:r>
            <w:bookmarkStart w:id="18" w:name="bookmark=id.l7em9b5d0f32" w:colFirst="0" w:colLast="0"/>
            <w:bookmarkEnd w:id="18"/>
            <w:r>
              <w:rPr>
                <w:color w:val="000000"/>
                <w:sz w:val="20"/>
                <w:szCs w:val="20"/>
              </w:rPr>
              <w:t xml:space="preserve">odstąpienia od tej umowy. Nabywca zachowuje roszczenie z tytułu kary umownej za okres opóźnienia. </w:t>
            </w:r>
          </w:p>
          <w:p w14:paraId="326C933B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A59152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19" w:name="bookmark=id.td95uuuf9plt" w:colFirst="0" w:colLast="0"/>
            <w:bookmarkEnd w:id="19"/>
            <w:r>
              <w:rPr>
                <w:color w:val="000000"/>
                <w:sz w:val="20"/>
                <w:szCs w:val="20"/>
              </w:rPr>
              <w:t xml:space="preserve">W przypadku, o którym mowa w pkt 7 powyżej, nabywca ma prawo </w:t>
            </w:r>
            <w:bookmarkStart w:id="20" w:name="bookmark=id.ypwhykakv4d5" w:colFirst="0" w:colLast="0"/>
            <w:bookmarkEnd w:id="20"/>
            <w:r>
              <w:rPr>
                <w:color w:val="000000"/>
                <w:sz w:val="20"/>
                <w:szCs w:val="20"/>
              </w:rPr>
              <w:t>odstąpienia od umowy po dokonaniu przez bank zwrotu środków zgodnie z art. 10 ust. 3 ustawy.</w:t>
            </w:r>
          </w:p>
          <w:p w14:paraId="168C4C89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F60EA6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21" w:name="bookmark=id.qyhhxh8sj7ai" w:colFirst="0" w:colLast="0"/>
            <w:bookmarkEnd w:id="21"/>
            <w:r>
              <w:rPr>
                <w:color w:val="000000"/>
                <w:sz w:val="20"/>
                <w:szCs w:val="20"/>
              </w:rPr>
              <w:t xml:space="preserve">W przypadku, o którym mowa w pkt 8 powyżej, nabywca ma prawo </w:t>
            </w:r>
            <w:bookmarkStart w:id="22" w:name="bookmark=id.abtkemx53uuc" w:colFirst="0" w:colLast="0"/>
            <w:bookmarkEnd w:id="22"/>
            <w:r>
              <w:rPr>
                <w:color w:val="000000"/>
                <w:sz w:val="20"/>
                <w:szCs w:val="20"/>
              </w:rPr>
              <w:t xml:space="preserve">odstąpienia od umowy w terminie 60 dni od dnia jej zawarcia. </w:t>
            </w:r>
          </w:p>
          <w:p w14:paraId="640E3C73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131F45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23" w:name="bookmark=id.4r39acnq5h4u" w:colFirst="0" w:colLast="0"/>
            <w:bookmarkEnd w:id="23"/>
            <w:r>
              <w:rPr>
                <w:color w:val="000000"/>
                <w:sz w:val="20"/>
                <w:szCs w:val="20"/>
              </w:rPr>
              <w:t xml:space="preserve">W przypadku, o którym mowa w pkt 9 powyżej, nabywca ma prawo </w:t>
            </w:r>
            <w:bookmarkStart w:id="24" w:name="bookmark=id.j88jy6uctmhs" w:colFirst="0" w:colLast="0"/>
            <w:bookmarkEnd w:id="24"/>
            <w:r>
              <w:rPr>
                <w:color w:val="000000"/>
                <w:sz w:val="20"/>
                <w:szCs w:val="20"/>
              </w:rPr>
              <w:t>odstąpienia od umowy po upływie 60 dni od dnia podania do publicznej wiadomości informacji, o których mowa w art. 12 ust. 1 ustawy.</w:t>
            </w:r>
          </w:p>
          <w:p w14:paraId="4477DBBD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4535C09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25" w:name="bookmark=id.6qoo7iou6yaj" w:colFirst="0" w:colLast="0"/>
            <w:bookmarkEnd w:id="25"/>
            <w:r>
              <w:rPr>
                <w:color w:val="000000"/>
                <w:sz w:val="20"/>
                <w:szCs w:val="20"/>
              </w:rPr>
              <w:t xml:space="preserve">Deweloper ma prawo </w:t>
            </w:r>
            <w:bookmarkStart w:id="26" w:name="bookmark=id.eqcv3mix06rn" w:colFirst="0" w:colLast="0"/>
            <w:bookmarkEnd w:id="26"/>
            <w:r>
              <w:rPr>
                <w:color w:val="000000"/>
                <w:sz w:val="20"/>
                <w:szCs w:val="20"/>
              </w:rPr>
              <w:t xml:space="preserve">odstąpić od umowy w przypadku niespełnienia przez nabywcę świadczenia pieniężnego w terminie lub wysokości określonych w umowie, mimo wezwania nabywcy w formie pisemnej do uiszczenia zaległych kwot w terminie 30 dni od dnia doręczenia wezwania, chyba że niespełnienie przez nabywcę świadczenia pieniężnego jest spowodowane działaniem siły wyższej. </w:t>
            </w:r>
          </w:p>
          <w:p w14:paraId="3A2A6661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7A664F1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27" w:name="bookmark=id.e5fdp9c97ncg" w:colFirst="0" w:colLast="0"/>
            <w:bookmarkEnd w:id="27"/>
            <w:r>
              <w:rPr>
                <w:color w:val="000000"/>
                <w:sz w:val="20"/>
                <w:szCs w:val="20"/>
              </w:rPr>
              <w:t xml:space="preserve">Deweloper ma prawo </w:t>
            </w:r>
            <w:bookmarkStart w:id="28" w:name="bookmark=id.hpd4wemc6c5o" w:colFirst="0" w:colLast="0"/>
            <w:bookmarkEnd w:id="28"/>
            <w:r>
              <w:rPr>
                <w:color w:val="000000"/>
                <w:sz w:val="20"/>
                <w:szCs w:val="20"/>
              </w:rPr>
              <w:t>odstąpić od umowy w przypadku niestawienia się nabywcy do odbioru lokalu mieszkalnego albo domu jednorodzinnego lub podpisania aktu notarialnego przenoszącego na nabywcę prawa wynikające z umowy deweloperskiej albo umowy, o której mowa w art. 2 ust. 1 pkt 2, 3 lub 5, mimo dwukrotnego doręczenia wezwania w formie pisemnej w odstępie co najmniej 60 dni, chyba że niestawienie się nabywcy jest spowodowane działaniem siły wyższej.</w:t>
            </w:r>
          </w:p>
        </w:tc>
      </w:tr>
      <w:tr w:rsidR="003B3790" w14:paraId="11F65025" w14:textId="77777777">
        <w:trPr>
          <w:trHeight w:val="517"/>
        </w:trPr>
        <w:tc>
          <w:tcPr>
            <w:tcW w:w="9649" w:type="dxa"/>
            <w:gridSpan w:val="2"/>
            <w:shd w:val="clear" w:color="auto" w:fill="D9D9D9"/>
          </w:tcPr>
          <w:p w14:paraId="325C174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INNE INFORMACJE</w:t>
            </w:r>
          </w:p>
        </w:tc>
      </w:tr>
      <w:tr w:rsidR="003B3790" w14:paraId="15913282" w14:textId="77777777">
        <w:trPr>
          <w:trHeight w:val="4121"/>
        </w:trPr>
        <w:tc>
          <w:tcPr>
            <w:tcW w:w="9649" w:type="dxa"/>
            <w:gridSpan w:val="2"/>
            <w:tcBorders>
              <w:bottom w:val="nil"/>
            </w:tcBorders>
            <w:shd w:val="clear" w:color="auto" w:fill="F3F3F3"/>
          </w:tcPr>
          <w:p w14:paraId="316D6240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0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I. Informacja o:</w:t>
            </w:r>
          </w:p>
          <w:p w14:paraId="4C5EFDAD" w14:textId="77777777" w:rsidR="003B3790" w:rsidRDefault="00A401C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"/>
              </w:tabs>
              <w:spacing w:before="99"/>
              <w:ind w:right="9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zgodzie banku lub innego wierzyciela hipotecznego na </w:t>
            </w:r>
            <w:proofErr w:type="spellStart"/>
            <w:r>
              <w:rPr>
                <w:color w:val="000000"/>
                <w:sz w:val="20"/>
                <w:szCs w:val="20"/>
              </w:rPr>
              <w:t>bezobciążeniowe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ustanowienie odrębnej własności lokalu mieszkalnego i przeniesienie jego własności na nabywcę po wpłacie pełnej ceny przez nabywcę lub zobowiązaniu do jej udzielenia, jeżeli takie obciążenie istnieje, albo zgodzie banku lub innego wierzyciela hipotecznego na </w:t>
            </w:r>
            <w:proofErr w:type="spellStart"/>
            <w:r>
              <w:rPr>
                <w:color w:val="000000"/>
                <w:sz w:val="20"/>
                <w:szCs w:val="20"/>
              </w:rPr>
              <w:t>bezobciążeniowe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przeniesienie na nabywcę własności nieruchomości wraz z domem jednorodzinnym lub użytkowania wieczystego nieruchomości gruntowej i własności domu jednorodzinnego stanowiącego odrębną nieruchomość, lub przeniesienie ułamkowej części własności nieruchomości wraz z prawem do wyłącznego korzystania z części nieruchomości służącej zaspokajaniu potrzeb mieszkaniowych po wpłacie pełnej ceny przez nabywcę lub zobowiązaniu do jej udzielenia, jeżeli takie obciążenie istnieje;</w:t>
            </w:r>
          </w:p>
          <w:p w14:paraId="7336BA2D" w14:textId="77777777" w:rsidR="003B3790" w:rsidRDefault="00A401C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"/>
              </w:tabs>
              <w:spacing w:before="102"/>
              <w:ind w:right="9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 przypadku umów, o których mowa w art. 2 ust. 2 ustawy z dnia 20 maja 2021 r. o ochronie praw nabywcy lokalu mieszkalnego lub domu jednorodzinnego oraz Deweloperskim Funduszu Gwarancyjnym, o zgodzie banku lub innego wierzyciela hipotecznego na </w:t>
            </w:r>
            <w:proofErr w:type="spellStart"/>
            <w:r>
              <w:rPr>
                <w:color w:val="000000"/>
                <w:sz w:val="20"/>
                <w:szCs w:val="20"/>
              </w:rPr>
              <w:t>bezobciążeniowe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przeniesienie własności lokalu użytkowego na nabywcę po wpłacie pełnej ceny przez nabywcę lub zobowiązaniu do udzielenia takiej zgody, jeżeli takie obciążenie istnieje, albo zgodzie banku lub innego wierzyciela hipotecznego na </w:t>
            </w:r>
            <w:proofErr w:type="spellStart"/>
            <w:r>
              <w:rPr>
                <w:color w:val="000000"/>
                <w:sz w:val="20"/>
                <w:szCs w:val="20"/>
              </w:rPr>
              <w:t>bezobciążeniowe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przeniesienie na nabywcę ułamkowej części własności lokalu użytkowego po wpłacie pełnej ceny przez nabywcę lub zobowiązaniu do udzielenia takiej zgody, jeżeli takie obciążenie istnieje.</w:t>
            </w:r>
          </w:p>
        </w:tc>
      </w:tr>
      <w:tr w:rsidR="003B3790" w14:paraId="7FB07C6B" w14:textId="77777777">
        <w:trPr>
          <w:trHeight w:val="5359"/>
        </w:trPr>
        <w:tc>
          <w:tcPr>
            <w:tcW w:w="9649" w:type="dxa"/>
            <w:gridSpan w:val="2"/>
            <w:tcBorders>
              <w:top w:val="nil"/>
              <w:bottom w:val="nil"/>
            </w:tcBorders>
          </w:tcPr>
          <w:p w14:paraId="7E4B56E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90" w:right="94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Deweloper informuje, że posiada zgodę banku finansującego na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bezobciążeniowe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ustanowienie odrębnej własności lokalu mieszkalnego i przeniesienie jego własności na nabywcę po wpłacie pełnej ceny jak również zgodę banku na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bezobciążeniowe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przeniesienie własności lokalu użytkowego na nabywcę po wpłacie pełnej ceny przez nabywcę.</w:t>
            </w:r>
          </w:p>
          <w:p w14:paraId="2B51C62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319" w:right="94" w:hanging="21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II. Deweloper informuje o możliwości zapoznania się w lokalu przedsiębiorstwa przez osobę zainteresowaną zawarciem umowy odpowiednio do zakresu umowy z:</w:t>
            </w:r>
          </w:p>
          <w:p w14:paraId="7B2C28F9" w14:textId="77777777" w:rsidR="003B3790" w:rsidRDefault="00A401C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6"/>
              </w:tabs>
              <w:spacing w:before="99"/>
              <w:ind w:hanging="38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aktualnym stanem księgi wieczystej prowadzonej dla nieruchomości;</w:t>
            </w:r>
          </w:p>
          <w:p w14:paraId="682CD1FD" w14:textId="77777777" w:rsidR="003B3790" w:rsidRDefault="00A401C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6"/>
              </w:tabs>
              <w:spacing w:before="101"/>
              <w:ind w:right="9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aktualnym odpisem z Centralnej Informacji Krajowego Rejestru Sądowego dewelopera;</w:t>
            </w:r>
          </w:p>
          <w:p w14:paraId="1A80C8BB" w14:textId="77777777" w:rsidR="003B3790" w:rsidRDefault="00A401C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6"/>
              </w:tabs>
              <w:spacing w:before="97"/>
              <w:ind w:right="9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kopią pozwolenia na budowę;</w:t>
            </w:r>
          </w:p>
          <w:p w14:paraId="59A15E09" w14:textId="77777777" w:rsidR="003B3790" w:rsidRDefault="00A401C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6"/>
              </w:tabs>
              <w:spacing w:before="103"/>
              <w:ind w:hanging="38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sprawozdaniem finansowym dewelopera za ostatnie dwa lata, a w przypadku:</w:t>
            </w:r>
          </w:p>
          <w:p w14:paraId="1EA170A3" w14:textId="77777777" w:rsidR="003B3790" w:rsidRDefault="00A401C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6"/>
              </w:tabs>
              <w:spacing w:before="97"/>
              <w:ind w:hanging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projektem budowlanym;</w:t>
            </w:r>
          </w:p>
          <w:p w14:paraId="326AF03D" w14:textId="77777777" w:rsidR="003B3790" w:rsidRDefault="00A401C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6"/>
              </w:tabs>
              <w:spacing w:before="101"/>
              <w:ind w:right="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decyzją o pozwoleniu na użytkowanie budynku lub zawiadomieniem o zakończeniu budowy, do którego organ nadzoru budowlanego nie wniósł sprzeciwu;</w:t>
            </w:r>
          </w:p>
          <w:p w14:paraId="4B8F1187" w14:textId="77777777" w:rsidR="003B3790" w:rsidRDefault="00A401C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6"/>
              </w:tabs>
              <w:spacing w:before="99"/>
              <w:ind w:hanging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zaświadczeniem o samodzielności lokalu;</w:t>
            </w:r>
          </w:p>
          <w:p w14:paraId="4AA038D1" w14:textId="77777777" w:rsidR="003B3790" w:rsidRDefault="00A401C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4"/>
                <w:tab w:val="left" w:pos="846"/>
              </w:tabs>
              <w:spacing w:before="99"/>
              <w:ind w:hanging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aktem ustanowienia odrębnej własności lokalu;</w:t>
            </w:r>
          </w:p>
        </w:tc>
      </w:tr>
    </w:tbl>
    <w:p w14:paraId="30A2148D" w14:textId="77777777" w:rsidR="003B3790" w:rsidRDefault="003B3790">
      <w:pPr>
        <w:rPr>
          <w:sz w:val="20"/>
          <w:szCs w:val="20"/>
        </w:rPr>
        <w:sectPr w:rsidR="003B3790">
          <w:headerReference w:type="default" r:id="rId24"/>
          <w:pgSz w:w="11910" w:h="16840"/>
          <w:pgMar w:top="1180" w:right="900" w:bottom="280" w:left="800" w:header="974" w:footer="0" w:gutter="0"/>
          <w:cols w:space="708"/>
        </w:sectPr>
      </w:pPr>
    </w:p>
    <w:p w14:paraId="54FB2C7A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2"/>
          <w:szCs w:val="12"/>
        </w:rPr>
      </w:pPr>
      <w:r>
        <w:rPr>
          <w:noProof/>
          <w:color w:val="000000"/>
          <w:sz w:val="20"/>
          <w:szCs w:val="20"/>
          <w:lang w:val="pl-PL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11865466" wp14:editId="69608C71">
                <wp:simplePos x="0" y="0"/>
                <wp:positionH relativeFrom="page">
                  <wp:posOffset>708343</wp:posOffset>
                </wp:positionH>
                <wp:positionV relativeFrom="page">
                  <wp:posOffset>921703</wp:posOffset>
                </wp:positionV>
                <wp:extent cx="6143625" cy="8910955"/>
                <wp:effectExtent l="0" t="0" r="0" b="0"/>
                <wp:wrapNone/>
                <wp:docPr id="1964583233" name="Dowolny kształt: kształt 1964583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8950" y="0"/>
                          <a:ext cx="6134100" cy="756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60" h="14018" extrusionOk="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4172"/>
                              </a:lnTo>
                              <a:lnTo>
                                <a:pt x="0" y="14009"/>
                              </a:lnTo>
                              <a:lnTo>
                                <a:pt x="0" y="14018"/>
                              </a:lnTo>
                              <a:lnTo>
                                <a:pt x="10" y="14018"/>
                              </a:lnTo>
                              <a:lnTo>
                                <a:pt x="10" y="14009"/>
                              </a:lnTo>
                              <a:lnTo>
                                <a:pt x="10" y="417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9660" y="0"/>
                              </a:moveTo>
                              <a:lnTo>
                                <a:pt x="9650" y="0"/>
                              </a:lnTo>
                              <a:lnTo>
                                <a:pt x="9650" y="4172"/>
                              </a:lnTo>
                              <a:lnTo>
                                <a:pt x="9650" y="14009"/>
                              </a:lnTo>
                              <a:lnTo>
                                <a:pt x="10" y="14009"/>
                              </a:lnTo>
                              <a:lnTo>
                                <a:pt x="10" y="14018"/>
                              </a:lnTo>
                              <a:lnTo>
                                <a:pt x="9650" y="14018"/>
                              </a:lnTo>
                              <a:lnTo>
                                <a:pt x="9660" y="14018"/>
                              </a:lnTo>
                              <a:lnTo>
                                <a:pt x="9660" y="14009"/>
                              </a:lnTo>
                              <a:lnTo>
                                <a:pt x="9660" y="4172"/>
                              </a:lnTo>
                              <a:lnTo>
                                <a:pt x="9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FFF103A" id="Dowolny kształt: kształt 1964583233" o:spid="_x0000_s1026" style="position:absolute;margin-left:55.8pt;margin-top:72.6pt;width:483.75pt;height:701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9660,14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" path="m10,l,,,4172r,9837l,14018r10,l10,14009r,-9837l10,xm9660,r-10,l9650,4172r,9837l10,14009r,9l9650,14018r10,l9660,14009r,-9837l9660,xe" fillcolor="black" stroked="f">
                <v:path arrowok="t" o:extrusionok="f"/>
                <w10:wrap anchorx="page" anchory="page"/>
              </v:shape>
            </w:pict>
          </mc:Fallback>
        </mc:AlternateContent>
      </w:r>
    </w:p>
    <w:p w14:paraId="42E63A8F" w14:textId="77777777" w:rsidR="003B3790" w:rsidRDefault="00A401C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4"/>
        </w:tabs>
        <w:spacing w:before="9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dokumentem potwierdzającym:</w:t>
      </w:r>
    </w:p>
    <w:p w14:paraId="15614B8E" w14:textId="77777777" w:rsidR="003B3790" w:rsidRDefault="00A401C9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4"/>
        </w:tabs>
        <w:spacing w:before="102"/>
        <w:ind w:right="330" w:hanging="3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zgodę banku na </w:t>
      </w:r>
      <w:proofErr w:type="spellStart"/>
      <w:r>
        <w:rPr>
          <w:color w:val="000000"/>
          <w:sz w:val="20"/>
          <w:szCs w:val="20"/>
        </w:rPr>
        <w:t>bezobciążeniowe</w:t>
      </w:r>
      <w:proofErr w:type="spellEnd"/>
      <w:r>
        <w:rPr>
          <w:color w:val="000000"/>
          <w:sz w:val="20"/>
          <w:szCs w:val="20"/>
        </w:rPr>
        <w:t xml:space="preserve"> ustanowienie odrębnej własności lokalu mieszkalnego i przeniesienie jego własności na nabywcę po wpłacie pełnej ceny przez nabywcę lub zobowiązanie do jej udzielenia, jeżeli takie obciążenie istnieje,</w:t>
      </w:r>
    </w:p>
    <w:p w14:paraId="509C44A0" w14:textId="77777777" w:rsidR="003B3790" w:rsidRDefault="00A401C9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4"/>
        </w:tabs>
        <w:spacing w:before="80"/>
        <w:ind w:right="332" w:hanging="3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przypadku umów, o których mowa w art. 2 ust. 2 ustawy z dnia 20 maja 2021 r. o ochronie praw nabywcy lokalu mieszkalnego lub domu jednorodzinnego oraz Deweloperskim Funduszu Gwarancyjnym, zgodę banku na </w:t>
      </w:r>
      <w:proofErr w:type="spellStart"/>
      <w:r>
        <w:rPr>
          <w:color w:val="000000"/>
          <w:sz w:val="20"/>
          <w:szCs w:val="20"/>
        </w:rPr>
        <w:t>bezobciążeniowe</w:t>
      </w:r>
      <w:proofErr w:type="spellEnd"/>
      <w:r>
        <w:rPr>
          <w:color w:val="000000"/>
          <w:sz w:val="20"/>
          <w:szCs w:val="20"/>
        </w:rPr>
        <w:t xml:space="preserve"> przeniesienie własności lokalu użytkowego na nabywcę po wpłacie pełnej ceny przez nabywcę lub zobowiązanie do udzielenia takiej zgody, jeżeli takie obciążenie istnieje.</w:t>
      </w:r>
    </w:p>
    <w:p w14:paraId="16019741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1"/>
          <w:szCs w:val="11"/>
        </w:rPr>
      </w:pPr>
    </w:p>
    <w:p w14:paraId="56144605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91"/>
        <w:ind w:left="43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III. Informacja:</w:t>
      </w:r>
    </w:p>
    <w:p w14:paraId="62CF0A80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144"/>
        <w:ind w:left="435" w:right="33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Środki pieniężne zgromadzone w [_], prowadzącym otwarty mieszkaniowy rachunek powierniczy, są objęte ochroną obowiązkowego systemu gwarantowania depozytów, na zasadach określonych w ustawie z dnia 10 czerwca 2016 r. o Bankowym Funduszu Gwarancyjnym, systemie gwarantowania depozytów oraz przymusowej restrukturyzacji (Dz. U. z 2020 r. poz. 842 oraz z 2021 r. poz. 680 i 1177).</w:t>
      </w:r>
    </w:p>
    <w:p w14:paraId="3BD2C4CA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</w:rPr>
      </w:pPr>
    </w:p>
    <w:p w14:paraId="1FD44FA1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ind w:left="43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Informacje podstawowe o obowiązkowym systemie gwarantowania depozytów:</w:t>
      </w:r>
    </w:p>
    <w:p w14:paraId="2EFF8996" w14:textId="77777777" w:rsidR="003B3790" w:rsidRDefault="00A401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  <w:tab w:val="left" w:pos="7514"/>
        </w:tabs>
        <w:spacing w:before="145"/>
        <w:ind w:hanging="31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ochrona środków dotyczy sytuacji spełnienia warunku gwarancji wobec</w:t>
      </w:r>
      <w:r>
        <w:rPr>
          <w:color w:val="000000"/>
          <w:sz w:val="20"/>
          <w:szCs w:val="20"/>
        </w:rPr>
        <w:tab/>
        <w:t>[nazwa banku prowadzącego</w:t>
      </w:r>
    </w:p>
    <w:p w14:paraId="1C4E1EE1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ind w:left="74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mieszkaniowy rachunek powierniczy],</w:t>
      </w:r>
    </w:p>
    <w:p w14:paraId="7C0359FA" w14:textId="77777777" w:rsidR="003B3790" w:rsidRDefault="00A401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5"/>
        <w:ind w:right="33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 przypadku rachunku powierniczego deponentem (uprawnionym do środków gwarantowanych) jest każdy z powierzających, w granicach wynikających z jego udziału w kwocie zgromadzonej na tym rachunku, a w gra- nicach pozostałej kwoty na rachunku prawo do środków gwarantowanych ma powiernik,</w:t>
      </w:r>
    </w:p>
    <w:p w14:paraId="279FCD86" w14:textId="77777777" w:rsidR="003B3790" w:rsidRDefault="00A401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3"/>
        <w:ind w:right="33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limit gwarancyjny przypadający na jednego deponenta to równowartość w złotych 100 000 euro; w przypadkach określonych w art. 24 ust. 3 i 4 ustawy z dnia 10 czerwca 2016 r. o Bankowym Funduszu Gwarancyjnym, systemie gwarantowania depozytów oraz przymusowej restrukturyzacji, środki deponenta, w terminie 3 miesięcy od dnia ich wpływu na rachunek, objęte są gwarancjami ponad równowartość w złotych 100 000 euro,</w:t>
      </w:r>
    </w:p>
    <w:p w14:paraId="389C5157" w14:textId="77777777" w:rsidR="003B3790" w:rsidRDefault="00A401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5"/>
        <w:ind w:right="33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podstawą wyliczenia kwoty środków gwarantowanych należnej deponentowi jest suma wszystkich podlegających ochronie należności tego deponenta od banku, w tym należności z tytułu środków zgromadzonych na jego rachunkach osobistych i z tytułu jego udziału w środkach zgromadzonych na rachunku powierniczym,</w:t>
      </w:r>
    </w:p>
    <w:p w14:paraId="5FE95144" w14:textId="77777777" w:rsidR="003B3790" w:rsidRDefault="00A401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3"/>
        <w:ind w:right="34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wypłata środków gwarantowanych – co do zasady – następuje w terminie 7 dni roboczych od dnia spełnienia warunku gwarancji wobec banku,</w:t>
      </w:r>
    </w:p>
    <w:p w14:paraId="14DF95AB" w14:textId="77777777" w:rsidR="003B3790" w:rsidRDefault="00A401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5"/>
        <w:ind w:hanging="31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wypłata środków gwarantowanych jest dokonywana w złotych,</w:t>
      </w:r>
    </w:p>
    <w:p w14:paraId="607D6D2D" w14:textId="77777777" w:rsidR="003B3790" w:rsidRDefault="00A401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5"/>
        <w:ind w:right="33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 [nazwa banku prowadzącego mieszkaniowy rachunek powierniczy] korzysta także z następujących znaków towarowych: …………</w:t>
      </w:r>
    </w:p>
    <w:p w14:paraId="46D2500F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143"/>
        <w:ind w:left="435" w:right="34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Dalsze informacje na temat systemu gwarantowania depozytów można uzyskać na stronie internetowej Bankowego Funduszu Gwarancyjnego: https://</w:t>
      </w:r>
      <w:hyperlink r:id="rId25">
        <w:r>
          <w:rPr>
            <w:color w:val="000000"/>
            <w:sz w:val="20"/>
            <w:szCs w:val="20"/>
          </w:rPr>
          <w:t>www.bfg.pl/.</w:t>
        </w:r>
      </w:hyperlink>
    </w:p>
    <w:p w14:paraId="0D561AD5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144"/>
        <w:ind w:left="467" w:right="33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Informacja zamieszczana w przypadku zawarcia umowy mieszkaniowego rachunku powierniczego z oddziałem instytucji kredytowej w rozumieniu art. 4 ust. 1 pkt 18 ustawy z dnia 29 sierpnia 1997 r. – Prawo bankowe (Dz. U. z 2020 r. poz. 1896, 2320 i 2419 oraz z 2021 r. poz. 432, 680, 815 i 1177).</w:t>
      </w:r>
    </w:p>
    <w:p w14:paraId="3B500684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ind w:left="435" w:right="335"/>
        <w:jc w:val="both"/>
        <w:rPr>
          <w:color w:val="000000"/>
          <w:sz w:val="20"/>
          <w:szCs w:val="20"/>
        </w:rPr>
        <w:sectPr w:rsidR="003B3790">
          <w:headerReference w:type="default" r:id="rId26"/>
          <w:pgSz w:w="11910" w:h="16840"/>
          <w:pgMar w:top="1200" w:right="900" w:bottom="280" w:left="800" w:header="974" w:footer="0" w:gutter="0"/>
          <w:cols w:space="708"/>
        </w:sectPr>
      </w:pPr>
      <w:r>
        <w:rPr>
          <w:color w:val="000000"/>
          <w:sz w:val="20"/>
          <w:szCs w:val="20"/>
        </w:rPr>
        <w:t>Oddział instytucji kredytowej w rozumieniu art. 4 ust. 1 pkt 18 ustawy z dnia 29 sierpnia 1997 r. – Prawo bankowe jest objęty systemem gwarantowania państwa macierzystego, co oznacza, że nie mają do niego zastosowania przepisy ustawy z dnia 10 czerwca 2016 r. o Bankowym Funduszu Gwarancyjnym, systemie gwarantowania depozytów oraz przymusowej restrukturyzacji.</w:t>
      </w:r>
    </w:p>
    <w:p w14:paraId="0816C515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3"/>
          <w:szCs w:val="13"/>
        </w:rPr>
      </w:pPr>
    </w:p>
    <w:p w14:paraId="6C9362E9" w14:textId="77777777" w:rsidR="003B3790" w:rsidRDefault="00A401C9">
      <w:pPr>
        <w:spacing w:before="91"/>
        <w:ind w:left="2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CZĘŚĆ INDYWIDUALNA</w:t>
      </w:r>
    </w:p>
    <w:p w14:paraId="6D466BE5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bCs/>
          <w:color w:val="000000"/>
          <w:sz w:val="20"/>
          <w:szCs w:val="20"/>
        </w:rPr>
      </w:pPr>
    </w:p>
    <w:tbl>
      <w:tblPr>
        <w:tblStyle w:val="a9"/>
        <w:tblW w:w="915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2372"/>
        <w:gridCol w:w="3603"/>
      </w:tblGrid>
      <w:tr w:rsidR="003B3790" w:rsidRPr="00854676" w14:paraId="6BA0F747" w14:textId="77777777">
        <w:trPr>
          <w:trHeight w:val="748"/>
        </w:trPr>
        <w:tc>
          <w:tcPr>
            <w:tcW w:w="3176" w:type="dxa"/>
            <w:shd w:val="clear" w:color="auto" w:fill="F1F1F1"/>
          </w:tcPr>
          <w:p w14:paraId="41A615B8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56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Cena lokalu mieszkalnego </w:t>
            </w:r>
          </w:p>
        </w:tc>
        <w:tc>
          <w:tcPr>
            <w:tcW w:w="5975" w:type="dxa"/>
            <w:gridSpan w:val="2"/>
          </w:tcPr>
          <w:p w14:paraId="1B9C127B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Od 319 860,00 PLN do 681 845,00 PLN</w:t>
            </w:r>
          </w:p>
          <w:p w14:paraId="4D7DBBF8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3790" w:rsidRPr="00854676" w14:paraId="7E499838" w14:textId="77777777">
        <w:trPr>
          <w:trHeight w:val="978"/>
        </w:trPr>
        <w:tc>
          <w:tcPr>
            <w:tcW w:w="3176" w:type="dxa"/>
            <w:shd w:val="clear" w:color="auto" w:fill="F1F1F1"/>
          </w:tcPr>
          <w:p w14:paraId="193B44FF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56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Powierzchnia użytkowa lokalu mieszkalnego </w:t>
            </w:r>
          </w:p>
        </w:tc>
        <w:tc>
          <w:tcPr>
            <w:tcW w:w="5975" w:type="dxa"/>
            <w:gridSpan w:val="2"/>
          </w:tcPr>
          <w:p w14:paraId="11D2BB30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C63DE07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b/>
                <w:bCs/>
                <w:color w:val="000000"/>
                <w:sz w:val="20"/>
                <w:szCs w:val="20"/>
              </w:rPr>
              <w:t xml:space="preserve">od 26,58 m2 do 49,71 m2 </w:t>
            </w:r>
          </w:p>
        </w:tc>
      </w:tr>
      <w:tr w:rsidR="003B3790" w:rsidRPr="00854676" w14:paraId="56604502" w14:textId="77777777">
        <w:trPr>
          <w:trHeight w:val="976"/>
        </w:trPr>
        <w:tc>
          <w:tcPr>
            <w:tcW w:w="3176" w:type="dxa"/>
            <w:shd w:val="clear" w:color="auto" w:fill="F1F1F1"/>
          </w:tcPr>
          <w:p w14:paraId="686188D6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458"/>
              <w:jc w:val="both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Cena m</w:t>
            </w:r>
            <w:r w:rsidRPr="0085467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854676">
              <w:rPr>
                <w:color w:val="000000"/>
                <w:sz w:val="20"/>
                <w:szCs w:val="20"/>
              </w:rPr>
              <w:t xml:space="preserve"> powierzchni użytkowej lokalu mieszkalnego </w:t>
            </w:r>
          </w:p>
        </w:tc>
        <w:tc>
          <w:tcPr>
            <w:tcW w:w="5975" w:type="dxa"/>
            <w:gridSpan w:val="2"/>
          </w:tcPr>
          <w:p w14:paraId="00CB7A8C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Od 11 000,00 PLN do 14 000,00 PLN</w:t>
            </w:r>
          </w:p>
          <w:p w14:paraId="1929098E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B3790" w:rsidRPr="00854676" w14:paraId="3E6309E7" w14:textId="77777777">
        <w:trPr>
          <w:trHeight w:val="3048"/>
        </w:trPr>
        <w:tc>
          <w:tcPr>
            <w:tcW w:w="3176" w:type="dxa"/>
            <w:shd w:val="clear" w:color="auto" w:fill="F1F1F1"/>
          </w:tcPr>
          <w:p w14:paraId="46443A73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Termin, do którego nastąpi</w:t>
            </w:r>
          </w:p>
          <w:p w14:paraId="42833255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przeniesienie prawa własności nie- ruchomości wynikającego z umowy deweloperskiej lub jednej z umów,</w:t>
            </w:r>
          </w:p>
          <w:p w14:paraId="3E2EB794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74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o których mowa w art. 2 ust. 1 pkt 2, 3 lub 5 lub ust. 2</w:t>
            </w:r>
          </w:p>
          <w:p w14:paraId="2145744C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ustawy z dnia 20 maja 2021 r.</w:t>
            </w:r>
          </w:p>
          <w:p w14:paraId="008B3EB0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o ochronie praw nabywcy lokalu mieszkalnego lub domu jednorodzinnego oraz Deweloperskim Funduszu Gwarancyjnym</w:t>
            </w:r>
          </w:p>
        </w:tc>
        <w:tc>
          <w:tcPr>
            <w:tcW w:w="5975" w:type="dxa"/>
            <w:gridSpan w:val="2"/>
          </w:tcPr>
          <w:p w14:paraId="78F08674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31 marca 2027 r</w:t>
            </w:r>
          </w:p>
        </w:tc>
      </w:tr>
      <w:tr w:rsidR="003B3790" w:rsidRPr="00854676" w14:paraId="6209B675" w14:textId="77777777">
        <w:trPr>
          <w:trHeight w:val="532"/>
        </w:trPr>
        <w:tc>
          <w:tcPr>
            <w:tcW w:w="3176" w:type="dxa"/>
            <w:vMerge w:val="restart"/>
            <w:shd w:val="clear" w:color="auto" w:fill="F1F1F1"/>
          </w:tcPr>
          <w:p w14:paraId="787FA860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56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Określenie położenia oraz istotnych cech budynku, w którym ma znajdować się lokal mieszkalny będący przedmiotem umowy rezerwacyjnej albo umowy deweloperskiej lub</w:t>
            </w:r>
          </w:p>
          <w:p w14:paraId="546B5353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99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jednej z umów, o których mowa w art. 2 ust. 1 pkt 2, 3 lub 5 lub</w:t>
            </w:r>
          </w:p>
          <w:p w14:paraId="34687916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156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ust. 2 ustawy z dnia 20 maja 2021 r. o ochronie praw nabywcy lokalu mieszkalnego lub domu jednorodzinnego oraz Deweloperskim Funduszu Gwarancyjnym</w:t>
            </w:r>
          </w:p>
        </w:tc>
        <w:tc>
          <w:tcPr>
            <w:tcW w:w="2372" w:type="dxa"/>
          </w:tcPr>
          <w:p w14:paraId="26FA03FB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Liczba kondygnacji</w:t>
            </w:r>
          </w:p>
        </w:tc>
        <w:tc>
          <w:tcPr>
            <w:tcW w:w="3603" w:type="dxa"/>
          </w:tcPr>
          <w:p w14:paraId="6077767E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5 kondygnacji nadziemnych</w:t>
            </w:r>
          </w:p>
        </w:tc>
      </w:tr>
      <w:tr w:rsidR="003B3790" w:rsidRPr="00854676" w14:paraId="5491F634" w14:textId="77777777">
        <w:trPr>
          <w:trHeight w:val="532"/>
        </w:trPr>
        <w:tc>
          <w:tcPr>
            <w:tcW w:w="3176" w:type="dxa"/>
            <w:vMerge/>
            <w:shd w:val="clear" w:color="auto" w:fill="F1F1F1"/>
          </w:tcPr>
          <w:p w14:paraId="29A99BEB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</w:tcPr>
          <w:p w14:paraId="6ACF520C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Technologia wykonania</w:t>
            </w:r>
          </w:p>
        </w:tc>
        <w:tc>
          <w:tcPr>
            <w:tcW w:w="3603" w:type="dxa"/>
          </w:tcPr>
          <w:p w14:paraId="2E8B81BC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38FCC803" w14:textId="77777777" w:rsidR="003B3790" w:rsidRPr="00854676" w:rsidRDefault="00A401C9">
            <w:pPr>
              <w:ind w:firstLine="720"/>
              <w:jc w:val="center"/>
              <w:rPr>
                <w:color w:val="FF0000"/>
              </w:rPr>
            </w:pPr>
            <w:r w:rsidRPr="00854676">
              <w:t>tradycyjna</w:t>
            </w:r>
          </w:p>
        </w:tc>
      </w:tr>
      <w:tr w:rsidR="003B3790" w14:paraId="6B75C287" w14:textId="77777777">
        <w:trPr>
          <w:trHeight w:val="2423"/>
        </w:trPr>
        <w:tc>
          <w:tcPr>
            <w:tcW w:w="3176" w:type="dxa"/>
            <w:vMerge/>
            <w:shd w:val="clear" w:color="auto" w:fill="F1F1F1"/>
          </w:tcPr>
          <w:p w14:paraId="7E9EFDEE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372" w:type="dxa"/>
          </w:tcPr>
          <w:p w14:paraId="348099E2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 w:right="172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Standard prac wykończeniowych w części wspólnej budynku i terenie wokół niego, stanowiącym</w:t>
            </w:r>
          </w:p>
          <w:p w14:paraId="449C47D8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część wspólną nieruchomości</w:t>
            </w:r>
          </w:p>
        </w:tc>
        <w:tc>
          <w:tcPr>
            <w:tcW w:w="3603" w:type="dxa"/>
          </w:tcPr>
          <w:p w14:paraId="3A7D140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rPr>
                <w:color w:val="FF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Standard wykończenia zawarty jest w Załączniku nr 1 do Prospektu Informacyjnego.</w:t>
            </w:r>
          </w:p>
        </w:tc>
      </w:tr>
      <w:tr w:rsidR="003B3790" w14:paraId="314C516E" w14:textId="77777777">
        <w:trPr>
          <w:trHeight w:val="532"/>
        </w:trPr>
        <w:tc>
          <w:tcPr>
            <w:tcW w:w="3176" w:type="dxa"/>
            <w:vMerge/>
            <w:shd w:val="clear" w:color="auto" w:fill="F1F1F1"/>
          </w:tcPr>
          <w:p w14:paraId="1FB4B685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2372" w:type="dxa"/>
          </w:tcPr>
          <w:p w14:paraId="72CAE15B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Liczba lokali w budynku</w:t>
            </w:r>
          </w:p>
        </w:tc>
        <w:tc>
          <w:tcPr>
            <w:tcW w:w="3603" w:type="dxa"/>
          </w:tcPr>
          <w:p w14:paraId="6C34667A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lokali mieszkalnych, 1 lokal użytkowy</w:t>
            </w:r>
          </w:p>
        </w:tc>
      </w:tr>
      <w:tr w:rsidR="003B3790" w14:paraId="7AC9F734" w14:textId="77777777">
        <w:trPr>
          <w:trHeight w:val="749"/>
        </w:trPr>
        <w:tc>
          <w:tcPr>
            <w:tcW w:w="3176" w:type="dxa"/>
            <w:vMerge/>
            <w:shd w:val="clear" w:color="auto" w:fill="F1F1F1"/>
          </w:tcPr>
          <w:p w14:paraId="57DCAD3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</w:tcPr>
          <w:p w14:paraId="47EE2964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Liczba miejsc garażowych i postojowych</w:t>
            </w:r>
          </w:p>
        </w:tc>
        <w:tc>
          <w:tcPr>
            <w:tcW w:w="3603" w:type="dxa"/>
          </w:tcPr>
          <w:p w14:paraId="16B6B85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B3790" w14:paraId="674D4B42" w14:textId="77777777">
        <w:trPr>
          <w:trHeight w:val="532"/>
        </w:trPr>
        <w:tc>
          <w:tcPr>
            <w:tcW w:w="3176" w:type="dxa"/>
            <w:vMerge/>
            <w:shd w:val="clear" w:color="auto" w:fill="F1F1F1"/>
          </w:tcPr>
          <w:p w14:paraId="311D88CB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</w:tcPr>
          <w:p w14:paraId="551593CF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Dostępne media w budynku</w:t>
            </w:r>
          </w:p>
        </w:tc>
        <w:tc>
          <w:tcPr>
            <w:tcW w:w="3603" w:type="dxa"/>
          </w:tcPr>
          <w:p w14:paraId="37D451A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Sieć energetyczna, sieć wodociągowa sieć gazowa, sieć kanalizacyjna, sieć telekomunikacyjna, sieć grzewcza.</w:t>
            </w:r>
          </w:p>
        </w:tc>
      </w:tr>
      <w:tr w:rsidR="003B3790" w14:paraId="6B06A6E9" w14:textId="77777777">
        <w:trPr>
          <w:trHeight w:val="532"/>
        </w:trPr>
        <w:tc>
          <w:tcPr>
            <w:tcW w:w="3176" w:type="dxa"/>
            <w:vMerge/>
            <w:shd w:val="clear" w:color="auto" w:fill="F1F1F1"/>
          </w:tcPr>
          <w:p w14:paraId="1B4D09C8" w14:textId="77777777" w:rsidR="003B3790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</w:tcPr>
          <w:p w14:paraId="757CF93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Dostęp do drogi publicznej</w:t>
            </w:r>
          </w:p>
        </w:tc>
        <w:tc>
          <w:tcPr>
            <w:tcW w:w="3603" w:type="dxa"/>
          </w:tcPr>
          <w:p w14:paraId="5671E90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Tak, do ul. Warszawskiej i ul. Dudy-Gracza</w:t>
            </w:r>
          </w:p>
        </w:tc>
      </w:tr>
      <w:tr w:rsidR="003B3790" w14:paraId="7BFAC398" w14:textId="77777777">
        <w:trPr>
          <w:trHeight w:val="1437"/>
        </w:trPr>
        <w:tc>
          <w:tcPr>
            <w:tcW w:w="3176" w:type="dxa"/>
            <w:shd w:val="clear" w:color="auto" w:fill="F1F1F1"/>
          </w:tcPr>
          <w:p w14:paraId="793E16E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3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Określenie usytuowania lokalu mieszkalnego w budynku, jeżeli przedsięwzięcie deweloperskie lub zadanie inwestycyjne dotyczy lokali mieszkalnych</w:t>
            </w:r>
          </w:p>
        </w:tc>
        <w:tc>
          <w:tcPr>
            <w:tcW w:w="5975" w:type="dxa"/>
            <w:gridSpan w:val="2"/>
          </w:tcPr>
          <w:p w14:paraId="5E01893D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Lokale usytułowane są zgodnie z zrzutem kondygnacji stanowiącym Załącznik nr 2 do Prospektu Informacyjnego.  </w:t>
            </w:r>
          </w:p>
        </w:tc>
      </w:tr>
    </w:tbl>
    <w:p w14:paraId="5E2EA7A3" w14:textId="77777777" w:rsidR="003B3790" w:rsidRDefault="003B3790">
      <w:pPr>
        <w:rPr>
          <w:sz w:val="18"/>
          <w:szCs w:val="18"/>
        </w:rPr>
        <w:sectPr w:rsidR="003B3790">
          <w:pgSz w:w="11910" w:h="16840"/>
          <w:pgMar w:top="1200" w:right="900" w:bottom="280" w:left="800" w:header="974" w:footer="0" w:gutter="0"/>
          <w:cols w:space="708"/>
        </w:sectPr>
      </w:pPr>
    </w:p>
    <w:p w14:paraId="3EE1F726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bCs/>
          <w:color w:val="000000"/>
          <w:sz w:val="20"/>
          <w:szCs w:val="20"/>
        </w:rPr>
      </w:pPr>
    </w:p>
    <w:tbl>
      <w:tblPr>
        <w:tblStyle w:val="aa"/>
        <w:tblW w:w="915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5974"/>
      </w:tblGrid>
      <w:tr w:rsidR="003B3790" w14:paraId="3F3F837F" w14:textId="77777777">
        <w:trPr>
          <w:trHeight w:val="1440"/>
        </w:trPr>
        <w:tc>
          <w:tcPr>
            <w:tcW w:w="3176" w:type="dxa"/>
            <w:shd w:val="clear" w:color="auto" w:fill="F1F1F1"/>
          </w:tcPr>
          <w:p w14:paraId="7DD34BF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Określenie powierzchni użytkowej i układu pomieszczeń oraz zakresu i standardu prac wykończeniowych, do których wykonania zobowiązuje się deweloper</w:t>
            </w:r>
          </w:p>
        </w:tc>
        <w:tc>
          <w:tcPr>
            <w:tcW w:w="5974" w:type="dxa"/>
          </w:tcPr>
          <w:p w14:paraId="2E16106F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color w:val="000000"/>
                <w:sz w:val="20"/>
                <w:szCs w:val="20"/>
                <w:vertAlign w:val="superscript"/>
              </w:rPr>
            </w:pPr>
            <w:r w:rsidRPr="00854676">
              <w:rPr>
                <w:color w:val="000000"/>
                <w:sz w:val="20"/>
                <w:szCs w:val="20"/>
              </w:rPr>
              <w:t xml:space="preserve">Powierzchnia użytkowa oraz układ pomieszczeń  są zgodne z rzutem lokalu stanowiącym Załącznik nr 3 do Prospektu Informacyjnego. </w:t>
            </w:r>
          </w:p>
          <w:p w14:paraId="1F8133BD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vertAlign w:val="superscript"/>
              </w:rPr>
            </w:pPr>
          </w:p>
          <w:p w14:paraId="3AAAA317" w14:textId="77777777" w:rsidR="003B3790" w:rsidRPr="00854676" w:rsidRDefault="003B3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color w:val="000000"/>
                <w:sz w:val="18"/>
                <w:szCs w:val="18"/>
              </w:rPr>
            </w:pPr>
          </w:p>
        </w:tc>
      </w:tr>
      <w:tr w:rsidR="003B3790" w14:paraId="38511C64" w14:textId="77777777">
        <w:trPr>
          <w:trHeight w:val="1034"/>
        </w:trPr>
        <w:tc>
          <w:tcPr>
            <w:tcW w:w="3176" w:type="dxa"/>
            <w:shd w:val="clear" w:color="auto" w:fill="F1F1F1"/>
          </w:tcPr>
          <w:p w14:paraId="02A4665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69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wydania zaświadczenia o samodzielności lokalu mieszkalnego</w:t>
            </w:r>
          </w:p>
        </w:tc>
        <w:tc>
          <w:tcPr>
            <w:tcW w:w="5974" w:type="dxa"/>
          </w:tcPr>
          <w:p w14:paraId="77F620B1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29" w:name="_heading=h.dpf9jauenlnt" w:colFirst="0" w:colLast="0"/>
            <w:bookmarkEnd w:id="29"/>
            <w:r w:rsidRPr="00854676">
              <w:rPr>
                <w:color w:val="000000"/>
                <w:sz w:val="20"/>
                <w:szCs w:val="20"/>
              </w:rPr>
              <w:t>09.01.2027 r.</w:t>
            </w:r>
          </w:p>
        </w:tc>
      </w:tr>
      <w:tr w:rsidR="003B3790" w14:paraId="62B190A6" w14:textId="77777777">
        <w:trPr>
          <w:trHeight w:val="748"/>
        </w:trPr>
        <w:tc>
          <w:tcPr>
            <w:tcW w:w="3176" w:type="dxa"/>
            <w:shd w:val="clear" w:color="auto" w:fill="F1F1F1"/>
          </w:tcPr>
          <w:p w14:paraId="1ABAFD13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ustanowienia odrębnej</w:t>
            </w:r>
          </w:p>
          <w:p w14:paraId="128B8617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własności lokalu mieszkalnego</w:t>
            </w:r>
          </w:p>
        </w:tc>
        <w:tc>
          <w:tcPr>
            <w:tcW w:w="5974" w:type="dxa"/>
          </w:tcPr>
          <w:p w14:paraId="0DA3DF13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12.01.2027 r.</w:t>
            </w:r>
          </w:p>
        </w:tc>
      </w:tr>
      <w:tr w:rsidR="003B3790" w14:paraId="4948B129" w14:textId="77777777">
        <w:trPr>
          <w:trHeight w:val="1207"/>
        </w:trPr>
        <w:tc>
          <w:tcPr>
            <w:tcW w:w="3176" w:type="dxa"/>
            <w:shd w:val="clear" w:color="auto" w:fill="F1F1F1"/>
          </w:tcPr>
          <w:p w14:paraId="51072BB6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Informacje o lokalu użytkowym nabywanym równocześnie</w:t>
            </w:r>
          </w:p>
          <w:p w14:paraId="1B24C52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lokalem mieszkalnym </w:t>
            </w:r>
          </w:p>
        </w:tc>
        <w:tc>
          <w:tcPr>
            <w:tcW w:w="5974" w:type="dxa"/>
          </w:tcPr>
          <w:p w14:paraId="6CAD23F0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02"/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Nie dotyczy</w:t>
            </w:r>
          </w:p>
        </w:tc>
      </w:tr>
      <w:tr w:rsidR="003B3790" w14:paraId="06940AFF" w14:textId="77777777">
        <w:trPr>
          <w:trHeight w:val="978"/>
        </w:trPr>
        <w:tc>
          <w:tcPr>
            <w:tcW w:w="3176" w:type="dxa"/>
            <w:shd w:val="clear" w:color="auto" w:fill="F1F1F1"/>
          </w:tcPr>
          <w:p w14:paraId="04C15F38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Cenę lokalu użytkowego albo</w:t>
            </w:r>
          </w:p>
          <w:p w14:paraId="096E9B59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ułamkowej części własności lokalu użytkowego</w:t>
            </w:r>
          </w:p>
        </w:tc>
        <w:tc>
          <w:tcPr>
            <w:tcW w:w="5974" w:type="dxa"/>
          </w:tcPr>
          <w:p w14:paraId="734A5B0E" w14:textId="47D895A5" w:rsidR="003B3790" w:rsidRPr="00854676" w:rsidRDefault="00331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02"/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3 577 600</w:t>
            </w:r>
            <w:r w:rsidR="00A401C9" w:rsidRPr="00854676">
              <w:rPr>
                <w:color w:val="000000"/>
                <w:sz w:val="20"/>
                <w:szCs w:val="20"/>
              </w:rPr>
              <w:t xml:space="preserve"> PLN</w:t>
            </w:r>
          </w:p>
        </w:tc>
      </w:tr>
      <w:tr w:rsidR="003B3790" w14:paraId="59FB55EA" w14:textId="77777777">
        <w:trPr>
          <w:trHeight w:val="1209"/>
        </w:trPr>
        <w:tc>
          <w:tcPr>
            <w:tcW w:w="3176" w:type="dxa"/>
            <w:shd w:val="clear" w:color="auto" w:fill="F1F1F1"/>
          </w:tcPr>
          <w:p w14:paraId="7876831E" w14:textId="77777777" w:rsidR="003B3790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107" w:right="1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Termin, do którego nastąpi przeniesienie prawa własności lokalu użytkowego albo ułamkowej części własności lokalu użytkowego</w:t>
            </w:r>
          </w:p>
        </w:tc>
        <w:tc>
          <w:tcPr>
            <w:tcW w:w="5974" w:type="dxa"/>
          </w:tcPr>
          <w:p w14:paraId="759115B9" w14:textId="77777777" w:rsidR="003B3790" w:rsidRPr="00854676" w:rsidRDefault="00A40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02"/>
              <w:jc w:val="center"/>
              <w:rPr>
                <w:color w:val="000000"/>
                <w:sz w:val="20"/>
                <w:szCs w:val="20"/>
              </w:rPr>
            </w:pPr>
            <w:r w:rsidRPr="00854676">
              <w:rPr>
                <w:color w:val="000000"/>
                <w:sz w:val="20"/>
                <w:szCs w:val="20"/>
              </w:rPr>
              <w:t>do dnia 31.03.2027 r.</w:t>
            </w:r>
          </w:p>
        </w:tc>
      </w:tr>
    </w:tbl>
    <w:p w14:paraId="1A1BC7A7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36C71CBF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bCs/>
          <w:color w:val="000000"/>
          <w:sz w:val="16"/>
          <w:szCs w:val="16"/>
        </w:rPr>
      </w:pPr>
    </w:p>
    <w:p w14:paraId="0FA6A561" w14:textId="77777777" w:rsidR="003B3790" w:rsidRDefault="00A401C9">
      <w:pPr>
        <w:pStyle w:val="Nagwek1"/>
        <w:spacing w:before="91"/>
        <w:ind w:left="0" w:right="121"/>
        <w:jc w:val="right"/>
      </w:pPr>
      <w:r>
        <w:t>Podpis dewelopera albo osoby upoważnionej do reprezentacji dewelopera</w:t>
      </w:r>
    </w:p>
    <w:p w14:paraId="0723337D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6C7AED31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23"/>
          <w:szCs w:val="23"/>
        </w:rPr>
      </w:pPr>
    </w:p>
    <w:p w14:paraId="42EA6623" w14:textId="77777777" w:rsidR="003B3790" w:rsidRDefault="00A401C9">
      <w:pPr>
        <w:ind w:right="123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…...………………………………….</w:t>
      </w:r>
    </w:p>
    <w:p w14:paraId="355D37F0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5437C941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7B309EFF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13509B6B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6"/>
          <w:szCs w:val="16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7F8BE84" wp14:editId="5CB1A445">
                <wp:simplePos x="0" y="0"/>
                <wp:positionH relativeFrom="column">
                  <wp:posOffset>109220</wp:posOffset>
                </wp:positionH>
                <wp:positionV relativeFrom="paragraph">
                  <wp:posOffset>124143</wp:posOffset>
                </wp:positionV>
                <wp:extent cx="1270" cy="28575"/>
                <wp:effectExtent l="0" t="0" r="0" b="0"/>
                <wp:wrapTopAndBottom distT="0" distB="0"/>
                <wp:docPr id="1964583237" name="Dowolny kształt: kształt 1964583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8143" y="3779365"/>
                          <a:ext cx="635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9" h="120000" extrusionOk="0">
                              <a:moveTo>
                                <a:pt x="0" y="0"/>
                              </a:moveTo>
                              <a:lnTo>
                                <a:pt x="10008" y="0"/>
                              </a:lnTo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8060AC6" id="Dowolny kształt: kształt 1964583237" o:spid="_x0000_s1026" style="position:absolute;margin-left:8.6pt;margin-top:9.8pt;width:.1pt;height:2.2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000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" path="m,l10008,e" filled="f" strokeweight="2.25pt">
                <v:path arrowok="t" o:extrusionok="f"/>
                <w10:wrap type="topAndBottom"/>
              </v:shape>
            </w:pict>
          </mc:Fallback>
        </mc:AlternateContent>
      </w:r>
    </w:p>
    <w:p w14:paraId="1667183D" w14:textId="77777777" w:rsidR="003B3790" w:rsidRDefault="003B379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9"/>
          <w:szCs w:val="29"/>
        </w:rPr>
      </w:pPr>
    </w:p>
    <w:p w14:paraId="0C1990C3" w14:textId="77777777" w:rsidR="003B3790" w:rsidRDefault="00A401C9">
      <w:pPr>
        <w:pStyle w:val="Nagwek1"/>
        <w:ind w:firstLine="220"/>
      </w:pPr>
      <w:r>
        <w:t>Załączniki:</w:t>
      </w:r>
    </w:p>
    <w:p w14:paraId="4BD34FF2" w14:textId="77777777" w:rsidR="003B3790" w:rsidRDefault="00A401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before="140"/>
        <w:ind w:hanging="25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Standard wykończenia.</w:t>
      </w:r>
    </w:p>
    <w:p w14:paraId="04AEDF38" w14:textId="77777777" w:rsidR="003B3790" w:rsidRDefault="00A401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before="140"/>
        <w:ind w:hanging="25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Rzut kondygnacji z zaznaczeniem lokalu mieszkalnego.</w:t>
      </w:r>
    </w:p>
    <w:p w14:paraId="43B614D3" w14:textId="77777777" w:rsidR="003B3790" w:rsidRDefault="00A401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spacing w:before="140"/>
        <w:ind w:hanging="25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Rzut lokalu wraz z opisem pomieszczeń.</w:t>
      </w:r>
    </w:p>
    <w:p w14:paraId="3B49C64F" w14:textId="77777777" w:rsidR="003B3790" w:rsidRDefault="00A401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7"/>
        </w:tabs>
        <w:spacing w:before="144"/>
        <w:ind w:left="503" w:right="117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Wzór umowy deweloperskiej.</w:t>
      </w:r>
    </w:p>
    <w:p w14:paraId="18498E82" w14:textId="77777777" w:rsidR="003B3790" w:rsidRDefault="00A401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7"/>
        </w:tabs>
        <w:spacing w:before="144"/>
        <w:ind w:left="503" w:right="120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Szkic koncepcji zagospodarowania terenu inwestycji i jego otoczenia z zaznaczeniem budynku oraz istotnych uwarunkowań lokalizacji inwestycji wynikających z istniejącego stanu użytkowania terenów sąsiednich (np. z funkcji terenu, stref ochronnych, uciążliwości).</w:t>
      </w:r>
    </w:p>
    <w:p w14:paraId="58ECC17B" w14:textId="77777777" w:rsidR="003B3790" w:rsidRDefault="00A401C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5F7CE80" wp14:editId="2EB9B967">
                <wp:simplePos x="0" y="0"/>
                <wp:positionH relativeFrom="column">
                  <wp:posOffset>125729</wp:posOffset>
                </wp:positionH>
                <wp:positionV relativeFrom="paragraph">
                  <wp:posOffset>164783</wp:posOffset>
                </wp:positionV>
                <wp:extent cx="1270" cy="28575"/>
                <wp:effectExtent l="0" t="0" r="0" b="0"/>
                <wp:wrapTopAndBottom distT="0" distB="0"/>
                <wp:docPr id="1964583239" name="Dowolny kształt: kształt 1964583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4335" y="3779365"/>
                          <a:ext cx="6323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58" h="120000" extrusionOk="0">
                              <a:moveTo>
                                <a:pt x="0" y="0"/>
                              </a:moveTo>
                              <a:lnTo>
                                <a:pt x="9957" y="0"/>
                              </a:lnTo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D2EE494" id="Dowolny kształt: kształt 1964583239" o:spid="_x0000_s1026" style="position:absolute;margin-left:9.9pt;margin-top:13pt;width:.1pt;height:2.2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95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" path="m,l9957,e" filled="f" strokeweight="2.25pt">
                <v:path arrowok="t" o:extrusionok="f"/>
                <w10:wrap type="topAndBottom"/>
              </v:shape>
            </w:pict>
          </mc:Fallback>
        </mc:AlternateContent>
      </w:r>
    </w:p>
    <w:sectPr w:rsidR="003B3790">
      <w:pgSz w:w="11910" w:h="16840"/>
      <w:pgMar w:top="1200" w:right="900" w:bottom="280" w:left="800" w:header="974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3A4ED" w14:textId="77777777" w:rsidR="00793715" w:rsidRDefault="00793715">
      <w:r>
        <w:separator/>
      </w:r>
    </w:p>
  </w:endnote>
  <w:endnote w:type="continuationSeparator" w:id="0">
    <w:p w14:paraId="7B1F2109" w14:textId="77777777" w:rsidR="00793715" w:rsidRDefault="0079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86FE38AC-824C-4CC1-BDFE-E8FDAF06B361}"/>
    <w:embedBold r:id="rId2" w:fontKey="{091120E9-931E-422B-8D65-E4F4CFB1E05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F54E198B-63CB-4281-91F0-670A9F1CF02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763FC398-A6DC-4FC6-947A-AD305CB64BC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A48DEC9-128C-4D18-8F5E-EF87BA4742F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01D3221D-5B74-4465-8047-75BB6EAB7B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FE13F" w14:textId="50C74527" w:rsidR="009B1385" w:rsidRDefault="009B13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828F9">
      <w:rPr>
        <w:noProof/>
        <w:color w:val="000000"/>
      </w:rPr>
      <w:t>1</w:t>
    </w:r>
    <w:r>
      <w:rPr>
        <w:color w:val="000000"/>
      </w:rPr>
      <w:fldChar w:fldCharType="end"/>
    </w:r>
  </w:p>
  <w:p w14:paraId="3BD0FD03" w14:textId="77777777" w:rsidR="009B1385" w:rsidRDefault="009B13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518F8" w14:textId="77777777" w:rsidR="00793715" w:rsidRDefault="00793715">
      <w:r>
        <w:separator/>
      </w:r>
    </w:p>
  </w:footnote>
  <w:footnote w:type="continuationSeparator" w:id="0">
    <w:p w14:paraId="3972F818" w14:textId="77777777" w:rsidR="00793715" w:rsidRDefault="00793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1671" w14:textId="77777777" w:rsidR="009B1385" w:rsidRDefault="009B138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8C98C" w14:textId="77777777" w:rsidR="009B1385" w:rsidRDefault="009B138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l-PL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02EDDE" wp14:editId="0B6C0AAF">
              <wp:simplePos x="0" y="0"/>
              <wp:positionH relativeFrom="page">
                <wp:posOffset>630238</wp:posOffset>
              </wp:positionH>
              <wp:positionV relativeFrom="page">
                <wp:posOffset>601028</wp:posOffset>
              </wp:positionV>
              <wp:extent cx="855980" cy="175260"/>
              <wp:effectExtent l="0" t="0" r="0" b="0"/>
              <wp:wrapNone/>
              <wp:docPr id="1964583232" name="Prostokąt 1964583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22773" y="3697133"/>
                        <a:ext cx="8464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3763C" w14:textId="77777777" w:rsidR="009B1385" w:rsidRDefault="009B1385">
                          <w:pPr>
                            <w:spacing w:before="10"/>
                            <w:ind w:left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1964583232" o:spid="_x0000_s1028" style="position:absolute;margin-left:49.65pt;margin-top:47.35pt;width:67.4pt;height:13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" filled="f" stroked="f">
              <v:textbox inset="0,0,0,0">
                <w:txbxContent>
                  <w:p w14:paraId="5D93763C" w14:textId="77777777" w:rsidR="009B1385" w:rsidRDefault="009B1385">
                    <w:pPr>
                      <w:spacing w:before="10"/>
                      <w:ind w:left="2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  <w:lang w:val="pl-PL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AE2956C" wp14:editId="718B1A3C">
              <wp:simplePos x="0" y="0"/>
              <wp:positionH relativeFrom="page">
                <wp:posOffset>3624263</wp:posOffset>
              </wp:positionH>
              <wp:positionV relativeFrom="page">
                <wp:posOffset>601028</wp:posOffset>
              </wp:positionV>
              <wp:extent cx="353060" cy="175260"/>
              <wp:effectExtent l="0" t="0" r="0" b="0"/>
              <wp:wrapNone/>
              <wp:docPr id="1964583238" name="Prostokąt 1964583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4233" y="3697133"/>
                        <a:ext cx="343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E6582" w14:textId="77777777" w:rsidR="009B1385" w:rsidRDefault="009B1385">
                          <w:pPr>
                            <w:spacing w:before="1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1964583238" o:spid="_x0000_s1029" style="position:absolute;margin-left:285.4pt;margin-top:47.35pt;width:27.8pt;height:1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" filled="f" stroked="f">
              <v:textbox inset="0,0,0,0">
                <w:txbxContent>
                  <w:p w14:paraId="132E6582" w14:textId="77777777" w:rsidR="009B1385" w:rsidRDefault="009B1385">
                    <w:pPr>
                      <w:spacing w:before="1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  <w:lang w:val="pl-PL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07A53E8" wp14:editId="6FF1922B">
              <wp:simplePos x="0" y="0"/>
              <wp:positionH relativeFrom="page">
                <wp:posOffset>6389053</wp:posOffset>
              </wp:positionH>
              <wp:positionV relativeFrom="page">
                <wp:posOffset>601028</wp:posOffset>
              </wp:positionV>
              <wp:extent cx="542925" cy="175260"/>
              <wp:effectExtent l="0" t="0" r="0" b="0"/>
              <wp:wrapNone/>
              <wp:docPr id="1964583236" name="Prostokąt 1964583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79300" y="3697133"/>
                        <a:ext cx="533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DC8E3" w14:textId="77777777" w:rsidR="009B1385" w:rsidRDefault="009B1385">
                          <w:pPr>
                            <w:spacing w:before="1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.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1964583236" o:spid="_x0000_s1030" style="position:absolute;margin-left:503.1pt;margin-top:47.35pt;width:42.75pt;height:13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" filled="f" stroked="f">
              <v:textbox inset="0,0,0,0">
                <w:txbxContent>
                  <w:p w14:paraId="681DC8E3" w14:textId="77777777" w:rsidR="009B1385" w:rsidRDefault="009B1385">
                    <w:pPr>
                      <w:spacing w:before="10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.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F25DC" w14:textId="77777777" w:rsidR="009B1385" w:rsidRDefault="009B138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D7578"/>
    <w:multiLevelType w:val="multilevel"/>
    <w:tmpl w:val="99A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45CFF"/>
    <w:multiLevelType w:val="multilevel"/>
    <w:tmpl w:val="F4C24A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2A62298E"/>
    <w:multiLevelType w:val="multilevel"/>
    <w:tmpl w:val="EA80C074"/>
    <w:lvl w:ilvl="0">
      <w:numFmt w:val="bullet"/>
      <w:lvlText w:val="–"/>
      <w:lvlJc w:val="left"/>
      <w:pPr>
        <w:ind w:left="748" w:hanging="3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686" w:hanging="313"/>
      </w:pPr>
    </w:lvl>
    <w:lvl w:ilvl="2">
      <w:numFmt w:val="bullet"/>
      <w:lvlText w:val="•"/>
      <w:lvlJc w:val="left"/>
      <w:pPr>
        <w:ind w:left="2633" w:hanging="313"/>
      </w:pPr>
    </w:lvl>
    <w:lvl w:ilvl="3">
      <w:numFmt w:val="bullet"/>
      <w:lvlText w:val="•"/>
      <w:lvlJc w:val="left"/>
      <w:pPr>
        <w:ind w:left="3579" w:hanging="313"/>
      </w:pPr>
    </w:lvl>
    <w:lvl w:ilvl="4">
      <w:numFmt w:val="bullet"/>
      <w:lvlText w:val="•"/>
      <w:lvlJc w:val="left"/>
      <w:pPr>
        <w:ind w:left="4526" w:hanging="313"/>
      </w:pPr>
    </w:lvl>
    <w:lvl w:ilvl="5">
      <w:numFmt w:val="bullet"/>
      <w:lvlText w:val="•"/>
      <w:lvlJc w:val="left"/>
      <w:pPr>
        <w:ind w:left="5473" w:hanging="313"/>
      </w:pPr>
    </w:lvl>
    <w:lvl w:ilvl="6">
      <w:numFmt w:val="bullet"/>
      <w:lvlText w:val="•"/>
      <w:lvlJc w:val="left"/>
      <w:pPr>
        <w:ind w:left="6419" w:hanging="313"/>
      </w:pPr>
    </w:lvl>
    <w:lvl w:ilvl="7">
      <w:numFmt w:val="bullet"/>
      <w:lvlText w:val="•"/>
      <w:lvlJc w:val="left"/>
      <w:pPr>
        <w:ind w:left="7366" w:hanging="312"/>
      </w:pPr>
    </w:lvl>
    <w:lvl w:ilvl="8">
      <w:numFmt w:val="bullet"/>
      <w:lvlText w:val="•"/>
      <w:lvlJc w:val="left"/>
      <w:pPr>
        <w:ind w:left="8313" w:hanging="313"/>
      </w:pPr>
    </w:lvl>
  </w:abstractNum>
  <w:abstractNum w:abstractNumId="3">
    <w:nsid w:val="2F9B03B3"/>
    <w:multiLevelType w:val="multilevel"/>
    <w:tmpl w:val="3C90C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95AF0"/>
    <w:multiLevelType w:val="multilevel"/>
    <w:tmpl w:val="C35E8D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C47D9"/>
    <w:multiLevelType w:val="multilevel"/>
    <w:tmpl w:val="12C8E98C"/>
    <w:lvl w:ilvl="0">
      <w:start w:val="1"/>
      <w:numFmt w:val="decimal"/>
      <w:lvlText w:val="%1."/>
      <w:lvlJc w:val="left"/>
      <w:pPr>
        <w:ind w:left="2486" w:hanging="360"/>
      </w:pPr>
    </w:lvl>
    <w:lvl w:ilvl="1">
      <w:start w:val="1"/>
      <w:numFmt w:val="lowerLetter"/>
      <w:lvlText w:val="%2."/>
      <w:lvlJc w:val="left"/>
      <w:pPr>
        <w:ind w:left="3206" w:hanging="360"/>
      </w:pPr>
    </w:lvl>
    <w:lvl w:ilvl="2">
      <w:start w:val="1"/>
      <w:numFmt w:val="lowerRoman"/>
      <w:lvlText w:val="%3."/>
      <w:lvlJc w:val="right"/>
      <w:pPr>
        <w:ind w:left="3926" w:hanging="180"/>
      </w:pPr>
    </w:lvl>
    <w:lvl w:ilvl="3">
      <w:start w:val="1"/>
      <w:numFmt w:val="decimal"/>
      <w:lvlText w:val="%4."/>
      <w:lvlJc w:val="left"/>
      <w:pPr>
        <w:ind w:left="4646" w:hanging="360"/>
      </w:pPr>
    </w:lvl>
    <w:lvl w:ilvl="4">
      <w:start w:val="1"/>
      <w:numFmt w:val="lowerLetter"/>
      <w:lvlText w:val="%5."/>
      <w:lvlJc w:val="left"/>
      <w:pPr>
        <w:ind w:left="5366" w:hanging="360"/>
      </w:pPr>
    </w:lvl>
    <w:lvl w:ilvl="5">
      <w:start w:val="1"/>
      <w:numFmt w:val="lowerRoman"/>
      <w:lvlText w:val="%6."/>
      <w:lvlJc w:val="right"/>
      <w:pPr>
        <w:ind w:left="6086" w:hanging="180"/>
      </w:pPr>
    </w:lvl>
    <w:lvl w:ilvl="6">
      <w:start w:val="1"/>
      <w:numFmt w:val="decimal"/>
      <w:lvlText w:val="%7."/>
      <w:lvlJc w:val="left"/>
      <w:pPr>
        <w:ind w:left="6806" w:hanging="360"/>
      </w:pPr>
    </w:lvl>
    <w:lvl w:ilvl="7">
      <w:start w:val="1"/>
      <w:numFmt w:val="lowerLetter"/>
      <w:lvlText w:val="%8."/>
      <w:lvlJc w:val="left"/>
      <w:pPr>
        <w:ind w:left="7526" w:hanging="360"/>
      </w:pPr>
    </w:lvl>
    <w:lvl w:ilvl="8">
      <w:start w:val="1"/>
      <w:numFmt w:val="lowerRoman"/>
      <w:lvlText w:val="%9."/>
      <w:lvlJc w:val="right"/>
      <w:pPr>
        <w:ind w:left="8246" w:hanging="180"/>
      </w:pPr>
    </w:lvl>
  </w:abstractNum>
  <w:abstractNum w:abstractNumId="6">
    <w:nsid w:val="372E2586"/>
    <w:multiLevelType w:val="multilevel"/>
    <w:tmpl w:val="5958DFE0"/>
    <w:lvl w:ilvl="0">
      <w:start w:val="1"/>
      <w:numFmt w:val="upperRoman"/>
      <w:lvlText w:val="%1."/>
      <w:lvlJc w:val="left"/>
      <w:pPr>
        <w:ind w:left="1298" w:hanging="719"/>
      </w:pPr>
      <w:rPr>
        <w:rFonts w:ascii="Times New Roman" w:eastAsia="Times New Roman" w:hAnsi="Times New Roman" w:cs="Times New Roman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78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8"/>
        <w:szCs w:val="18"/>
      </w:rPr>
    </w:lvl>
    <w:lvl w:ilvl="2">
      <w:numFmt w:val="bullet"/>
      <w:lvlText w:val="•"/>
      <w:lvlJc w:val="left"/>
      <w:pPr>
        <w:ind w:left="2289" w:hanging="284"/>
      </w:pPr>
    </w:lvl>
    <w:lvl w:ilvl="3">
      <w:numFmt w:val="bullet"/>
      <w:lvlText w:val="•"/>
      <w:lvlJc w:val="left"/>
      <w:pPr>
        <w:ind w:left="3279" w:hanging="284"/>
      </w:pPr>
    </w:lvl>
    <w:lvl w:ilvl="4">
      <w:numFmt w:val="bullet"/>
      <w:lvlText w:val="•"/>
      <w:lvlJc w:val="left"/>
      <w:pPr>
        <w:ind w:left="4268" w:hanging="283"/>
      </w:pPr>
    </w:lvl>
    <w:lvl w:ilvl="5">
      <w:numFmt w:val="bullet"/>
      <w:lvlText w:val="•"/>
      <w:lvlJc w:val="left"/>
      <w:pPr>
        <w:ind w:left="5258" w:hanging="284"/>
      </w:pPr>
    </w:lvl>
    <w:lvl w:ilvl="6">
      <w:numFmt w:val="bullet"/>
      <w:lvlText w:val="•"/>
      <w:lvlJc w:val="left"/>
      <w:pPr>
        <w:ind w:left="6248" w:hanging="284"/>
      </w:pPr>
    </w:lvl>
    <w:lvl w:ilvl="7">
      <w:numFmt w:val="bullet"/>
      <w:lvlText w:val="•"/>
      <w:lvlJc w:val="left"/>
      <w:pPr>
        <w:ind w:left="7237" w:hanging="283"/>
      </w:pPr>
    </w:lvl>
    <w:lvl w:ilvl="8">
      <w:numFmt w:val="bullet"/>
      <w:lvlText w:val="•"/>
      <w:lvlJc w:val="left"/>
      <w:pPr>
        <w:ind w:left="8227" w:hanging="283"/>
      </w:pPr>
    </w:lvl>
  </w:abstractNum>
  <w:abstractNum w:abstractNumId="7">
    <w:nsid w:val="4B431B19"/>
    <w:multiLevelType w:val="multilevel"/>
    <w:tmpl w:val="A6F0D306"/>
    <w:lvl w:ilvl="0">
      <w:start w:val="1"/>
      <w:numFmt w:val="decimal"/>
      <w:lvlText w:val="%1)"/>
      <w:lvlJc w:val="left"/>
      <w:pPr>
        <w:ind w:left="845" w:hanging="3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185" w:hanging="3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119" w:hanging="341"/>
      </w:pPr>
    </w:lvl>
    <w:lvl w:ilvl="3">
      <w:numFmt w:val="bullet"/>
      <w:lvlText w:val="•"/>
      <w:lvlJc w:val="left"/>
      <w:pPr>
        <w:ind w:left="3059" w:hanging="341"/>
      </w:pPr>
    </w:lvl>
    <w:lvl w:ilvl="4">
      <w:numFmt w:val="bullet"/>
      <w:lvlText w:val="•"/>
      <w:lvlJc w:val="left"/>
      <w:pPr>
        <w:ind w:left="3999" w:hanging="341"/>
      </w:pPr>
    </w:lvl>
    <w:lvl w:ilvl="5">
      <w:numFmt w:val="bullet"/>
      <w:lvlText w:val="•"/>
      <w:lvlJc w:val="left"/>
      <w:pPr>
        <w:ind w:left="4939" w:hanging="341"/>
      </w:pPr>
    </w:lvl>
    <w:lvl w:ilvl="6">
      <w:numFmt w:val="bullet"/>
      <w:lvlText w:val="•"/>
      <w:lvlJc w:val="left"/>
      <w:pPr>
        <w:ind w:left="5879" w:hanging="341"/>
      </w:pPr>
    </w:lvl>
    <w:lvl w:ilvl="7">
      <w:numFmt w:val="bullet"/>
      <w:lvlText w:val="•"/>
      <w:lvlJc w:val="left"/>
      <w:pPr>
        <w:ind w:left="6819" w:hanging="341"/>
      </w:pPr>
    </w:lvl>
    <w:lvl w:ilvl="8">
      <w:numFmt w:val="bullet"/>
      <w:lvlText w:val="•"/>
      <w:lvlJc w:val="left"/>
      <w:pPr>
        <w:ind w:left="7759" w:hanging="341"/>
      </w:pPr>
    </w:lvl>
  </w:abstractNum>
  <w:abstractNum w:abstractNumId="8">
    <w:nsid w:val="4F0B1843"/>
    <w:multiLevelType w:val="multilevel"/>
    <w:tmpl w:val="DEC4A2EC"/>
    <w:lvl w:ilvl="0">
      <w:start w:val="1"/>
      <w:numFmt w:val="decimal"/>
      <w:lvlText w:val="%1)"/>
      <w:lvlJc w:val="left"/>
      <w:pPr>
        <w:ind w:left="420" w:hanging="3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341" w:hanging="313"/>
      </w:pPr>
    </w:lvl>
    <w:lvl w:ilvl="2">
      <w:numFmt w:val="bullet"/>
      <w:lvlText w:val="•"/>
      <w:lvlJc w:val="left"/>
      <w:pPr>
        <w:ind w:left="2263" w:hanging="313"/>
      </w:pPr>
    </w:lvl>
    <w:lvl w:ilvl="3">
      <w:numFmt w:val="bullet"/>
      <w:lvlText w:val="•"/>
      <w:lvlJc w:val="left"/>
      <w:pPr>
        <w:ind w:left="3185" w:hanging="313"/>
      </w:pPr>
    </w:lvl>
    <w:lvl w:ilvl="4">
      <w:numFmt w:val="bullet"/>
      <w:lvlText w:val="•"/>
      <w:lvlJc w:val="left"/>
      <w:pPr>
        <w:ind w:left="4107" w:hanging="313"/>
      </w:pPr>
    </w:lvl>
    <w:lvl w:ilvl="5">
      <w:numFmt w:val="bullet"/>
      <w:lvlText w:val="•"/>
      <w:lvlJc w:val="left"/>
      <w:pPr>
        <w:ind w:left="5029" w:hanging="313"/>
      </w:pPr>
    </w:lvl>
    <w:lvl w:ilvl="6">
      <w:numFmt w:val="bullet"/>
      <w:lvlText w:val="•"/>
      <w:lvlJc w:val="left"/>
      <w:pPr>
        <w:ind w:left="5951" w:hanging="312"/>
      </w:pPr>
    </w:lvl>
    <w:lvl w:ilvl="7">
      <w:numFmt w:val="bullet"/>
      <w:lvlText w:val="•"/>
      <w:lvlJc w:val="left"/>
      <w:pPr>
        <w:ind w:left="6873" w:hanging="313"/>
      </w:pPr>
    </w:lvl>
    <w:lvl w:ilvl="8">
      <w:numFmt w:val="bullet"/>
      <w:lvlText w:val="•"/>
      <w:lvlJc w:val="left"/>
      <w:pPr>
        <w:ind w:left="7795" w:hanging="313"/>
      </w:pPr>
    </w:lvl>
  </w:abstractNum>
  <w:abstractNum w:abstractNumId="9">
    <w:nsid w:val="50336C69"/>
    <w:multiLevelType w:val="multilevel"/>
    <w:tmpl w:val="69B269C0"/>
    <w:lvl w:ilvl="0">
      <w:start w:val="1"/>
      <w:numFmt w:val="decimal"/>
      <w:lvlText w:val="%1."/>
      <w:lvlJc w:val="left"/>
      <w:pPr>
        <w:ind w:left="472" w:hanging="25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452" w:hanging="253"/>
      </w:pPr>
    </w:lvl>
    <w:lvl w:ilvl="2">
      <w:numFmt w:val="bullet"/>
      <w:lvlText w:val="•"/>
      <w:lvlJc w:val="left"/>
      <w:pPr>
        <w:ind w:left="2425" w:hanging="253"/>
      </w:pPr>
    </w:lvl>
    <w:lvl w:ilvl="3">
      <w:numFmt w:val="bullet"/>
      <w:lvlText w:val="•"/>
      <w:lvlJc w:val="left"/>
      <w:pPr>
        <w:ind w:left="3397" w:hanging="253"/>
      </w:pPr>
    </w:lvl>
    <w:lvl w:ilvl="4">
      <w:numFmt w:val="bullet"/>
      <w:lvlText w:val="•"/>
      <w:lvlJc w:val="left"/>
      <w:pPr>
        <w:ind w:left="4370" w:hanging="253"/>
      </w:pPr>
    </w:lvl>
    <w:lvl w:ilvl="5">
      <w:numFmt w:val="bullet"/>
      <w:lvlText w:val="•"/>
      <w:lvlJc w:val="left"/>
      <w:pPr>
        <w:ind w:left="5343" w:hanging="253"/>
      </w:pPr>
    </w:lvl>
    <w:lvl w:ilvl="6">
      <w:numFmt w:val="bullet"/>
      <w:lvlText w:val="•"/>
      <w:lvlJc w:val="left"/>
      <w:pPr>
        <w:ind w:left="6315" w:hanging="253"/>
      </w:pPr>
    </w:lvl>
    <w:lvl w:ilvl="7">
      <w:numFmt w:val="bullet"/>
      <w:lvlText w:val="•"/>
      <w:lvlJc w:val="left"/>
      <w:pPr>
        <w:ind w:left="7288" w:hanging="253"/>
      </w:pPr>
    </w:lvl>
    <w:lvl w:ilvl="8">
      <w:numFmt w:val="bullet"/>
      <w:lvlText w:val="•"/>
      <w:lvlJc w:val="left"/>
      <w:pPr>
        <w:ind w:left="8261" w:hanging="252"/>
      </w:pPr>
    </w:lvl>
  </w:abstractNum>
  <w:abstractNum w:abstractNumId="10">
    <w:nsid w:val="61681248"/>
    <w:multiLevelType w:val="multilevel"/>
    <w:tmpl w:val="F9586A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10D41"/>
    <w:multiLevelType w:val="multilevel"/>
    <w:tmpl w:val="65087AE0"/>
    <w:lvl w:ilvl="0">
      <w:start w:val="9"/>
      <w:numFmt w:val="decimal"/>
      <w:lvlText w:val="%1)"/>
      <w:lvlJc w:val="left"/>
      <w:pPr>
        <w:ind w:left="1173" w:hanging="3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514" w:hanging="3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485" w:hanging="341"/>
      </w:pPr>
    </w:lvl>
    <w:lvl w:ilvl="3">
      <w:numFmt w:val="bullet"/>
      <w:lvlText w:val="•"/>
      <w:lvlJc w:val="left"/>
      <w:pPr>
        <w:ind w:left="3450" w:hanging="341"/>
      </w:pPr>
    </w:lvl>
    <w:lvl w:ilvl="4">
      <w:numFmt w:val="bullet"/>
      <w:lvlText w:val="•"/>
      <w:lvlJc w:val="left"/>
      <w:pPr>
        <w:ind w:left="4415" w:hanging="341"/>
      </w:pPr>
    </w:lvl>
    <w:lvl w:ilvl="5">
      <w:numFmt w:val="bullet"/>
      <w:lvlText w:val="•"/>
      <w:lvlJc w:val="left"/>
      <w:pPr>
        <w:ind w:left="5380" w:hanging="341"/>
      </w:pPr>
    </w:lvl>
    <w:lvl w:ilvl="6">
      <w:numFmt w:val="bullet"/>
      <w:lvlText w:val="•"/>
      <w:lvlJc w:val="left"/>
      <w:pPr>
        <w:ind w:left="6345" w:hanging="341"/>
      </w:pPr>
    </w:lvl>
    <w:lvl w:ilvl="7">
      <w:numFmt w:val="bullet"/>
      <w:lvlText w:val="•"/>
      <w:lvlJc w:val="left"/>
      <w:pPr>
        <w:ind w:left="7310" w:hanging="341"/>
      </w:pPr>
    </w:lvl>
    <w:lvl w:ilvl="8">
      <w:numFmt w:val="bullet"/>
      <w:lvlText w:val="•"/>
      <w:lvlJc w:val="left"/>
      <w:pPr>
        <w:ind w:left="8276" w:hanging="341"/>
      </w:pPr>
    </w:lvl>
  </w:abstractNum>
  <w:abstractNum w:abstractNumId="12">
    <w:nsid w:val="6C8E541F"/>
    <w:multiLevelType w:val="multilevel"/>
    <w:tmpl w:val="CDB06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2"/>
  </w:num>
  <w:num w:numId="7">
    <w:abstractNumId w:val="1"/>
  </w:num>
  <w:num w:numId="8">
    <w:abstractNumId w:val="10"/>
  </w:num>
  <w:num w:numId="9">
    <w:abstractNumId w:val="2"/>
  </w:num>
  <w:num w:numId="10">
    <w:abstractNumId w:val="11"/>
  </w:num>
  <w:num w:numId="11">
    <w:abstractNumId w:val="7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90"/>
    <w:rsid w:val="00262D71"/>
    <w:rsid w:val="002F7947"/>
    <w:rsid w:val="003313D8"/>
    <w:rsid w:val="003828F9"/>
    <w:rsid w:val="003B3790"/>
    <w:rsid w:val="005F40F1"/>
    <w:rsid w:val="00687D49"/>
    <w:rsid w:val="00700DC6"/>
    <w:rsid w:val="00783C6F"/>
    <w:rsid w:val="00793715"/>
    <w:rsid w:val="00854676"/>
    <w:rsid w:val="008C04A9"/>
    <w:rsid w:val="00954942"/>
    <w:rsid w:val="009B1385"/>
    <w:rsid w:val="00A22BF9"/>
    <w:rsid w:val="00A401C9"/>
    <w:rsid w:val="00A72A83"/>
    <w:rsid w:val="00BB5404"/>
    <w:rsid w:val="00BE4A78"/>
    <w:rsid w:val="00C512E2"/>
    <w:rsid w:val="00C661CA"/>
    <w:rsid w:val="00DC7321"/>
    <w:rsid w:val="00EC01DD"/>
    <w:rsid w:val="00F17CDB"/>
    <w:rsid w:val="00FD2DDE"/>
    <w:rsid w:val="00FE56CB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5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ind w:left="220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uiPriority w:val="1"/>
    <w:qFormat/>
    <w:rPr>
      <w:sz w:val="20"/>
      <w:szCs w:val="20"/>
    </w:rPr>
  </w:style>
  <w:style w:type="paragraph" w:styleId="Akapitzlist">
    <w:name w:val="List Paragraph"/>
    <w:uiPriority w:val="1"/>
    <w:qFormat/>
    <w:pPr>
      <w:ind w:left="786" w:hanging="284"/>
      <w:jc w:val="both"/>
    </w:pPr>
  </w:style>
  <w:style w:type="paragraph" w:customStyle="1" w:styleId="TableParagraph">
    <w:name w:val="Table Paragraph"/>
    <w:uiPriority w:val="1"/>
    <w:qFormat/>
  </w:style>
  <w:style w:type="paragraph" w:styleId="Nagwek">
    <w:name w:val="header"/>
    <w:link w:val="NagwekZnak"/>
    <w:uiPriority w:val="99"/>
    <w:unhideWhenUsed/>
    <w:rsid w:val="00044F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F4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link w:val="StopkaZnak"/>
    <w:uiPriority w:val="99"/>
    <w:unhideWhenUsed/>
    <w:rsid w:val="00044F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F4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1266A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66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5F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3A45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45F8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45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45F8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link w:val="TekstdymkaZnak"/>
    <w:uiPriority w:val="99"/>
    <w:semiHidden/>
    <w:unhideWhenUsed/>
    <w:rsid w:val="007530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061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80B33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ind w:left="220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uiPriority w:val="1"/>
    <w:qFormat/>
    <w:rPr>
      <w:sz w:val="20"/>
      <w:szCs w:val="20"/>
    </w:rPr>
  </w:style>
  <w:style w:type="paragraph" w:styleId="Akapitzlist">
    <w:name w:val="List Paragraph"/>
    <w:uiPriority w:val="1"/>
    <w:qFormat/>
    <w:pPr>
      <w:ind w:left="786" w:hanging="284"/>
      <w:jc w:val="both"/>
    </w:pPr>
  </w:style>
  <w:style w:type="paragraph" w:customStyle="1" w:styleId="TableParagraph">
    <w:name w:val="Table Paragraph"/>
    <w:uiPriority w:val="1"/>
    <w:qFormat/>
  </w:style>
  <w:style w:type="paragraph" w:styleId="Nagwek">
    <w:name w:val="header"/>
    <w:link w:val="NagwekZnak"/>
    <w:uiPriority w:val="99"/>
    <w:unhideWhenUsed/>
    <w:rsid w:val="00044F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4F4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link w:val="StopkaZnak"/>
    <w:uiPriority w:val="99"/>
    <w:unhideWhenUsed/>
    <w:rsid w:val="00044F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F4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1266A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66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5F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3A45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45F8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45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45F8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link w:val="TekstdymkaZnak"/>
    <w:uiPriority w:val="99"/>
    <w:semiHidden/>
    <w:unhideWhenUsed/>
    <w:rsid w:val="007530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061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80B33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emapa.katowice.eu/mszkiip/geoportal-obslugi-obywatela/mapa-akustyczna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://www.bfg.pl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bip.katowice.eu/strona.aspx?idr=9911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dudygracza.pl" TargetMode="Externa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D/pkw2gpZGq28Nq9d4gToVmMOw==">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28</Pages>
  <Words>6370</Words>
  <Characters>38223</Characters>
  <Application>Microsoft Office Word</Application>
  <DocSecurity>0</DocSecurity>
  <Lines>318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(C) Wydawnictwo C.H. Beck</dc:creator>
  <cp:lastModifiedBy>Marek</cp:lastModifiedBy>
  <cp:revision>16</cp:revision>
  <cp:lastPrinted>2026-04-18T07:56:00Z</cp:lastPrinted>
  <dcterms:created xsi:type="dcterms:W3CDTF">2025-11-21T08:26:00Z</dcterms:created>
  <dcterms:modified xsi:type="dcterms:W3CDTF">2026-08-14T16:18:00Z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2023-01-30T00:00:00Z</vt:filetime>
  </property>
  <property fmtid="{D5CDD505-2E9C-101B-9397-08002B2CF9AE}" pid="5" name="Producer">
    <vt:lpwstr>Aspose.PDF for .NET 22.6.0</vt:lpwstr>
  </property>
  <property fmtid="{D5CDD505-2E9C-101B-9397-08002B2CF9AE}" pid="6" name="ContentTypeId">
    <vt:lpwstr>0x0101004406E709130556438B4C3D8E1E853CD4</vt:lpwstr>
  </property>
  <property fmtid="{D5CDD505-2E9C-101B-9397-08002B2CF9AE}" pid="7" name="MediaServiceImageTags">
    <vt:lpwstr/>
  </property>
</Properties>
</file>